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im-earnings-predictions--2026-08-04"/>
    <w:p>
      <w:pPr>
        <w:pStyle w:val="Heading1"/>
      </w:pPr>
      <w:r>
        <w:t xml:space="preserve">KIM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FFO per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~$0.47 vs. cons $0.46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Same-property NOI growth (YoY)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~3.3% vs. cons ~2.8%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~$548M vs. cons $545M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FFO/share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1.83</m:t>
              </m:r>
              <m:r>
                <m:rPr>
                  <m:sty m:val="p"/>
                </m:rPr>
                <m:t>−</m:t>
              </m:r>
            </m:oMath>
            <w:r>
              <w:t xml:space="preserve">1.86 vs. cons $1.825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Same-property NOI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~3.0%-3.6% vs. cons ~3.15%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Credit-loss assumption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~60-85 bps vs. cons ~77 bps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-0.3% (FADE)</w:t>
            </w:r>
          </w:p>
        </w:tc>
        <w:tc>
          <w:tcPr/>
          <w:p>
            <w:pPr>
              <w:pStyle w:val="Compact"/>
            </w:pPr>
            <w:r>
              <w:t xml:space="preserve">Setup mirrors Q1: a low-bar beat-and-raise is largely pre-anticipated (SNO pipeline conversion math already telegraphed by management, consensus FFO stuck at $0.46 for 3+ months), and the stock has already run ~27% into the print (peaked $26.38 in late July before pulling back to $25.42). Q1's earnings reaction showed exactly this pattern: a modest 1-2 day pop followed by give-back over the rest of the week as no incremental surprise emerged beyond what was guided. Expect a similar initial positive reaction on the beat/raise that fades as investors rotate to 2H26 refinancing/credit-loss risk and valuation-discount debate rather than sustained re-rating.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2026-08-04T00:32:25Z</dcterms:created>
  <dcterms:modified xsi:type="dcterms:W3CDTF">2026-08-04T00:32:25Z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