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im-earnings-predictions--2026-08-04"/>
    <w:p>
      <w:pPr>
        <w:pStyle w:val="Heading1"/>
      </w:pPr>
      <w:r>
        <w:t xml:space="preserve">KIM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FFO per diluted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~$0.46 vs. cons $0.46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same-property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~2.9% vs. cons 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~$549M vs. cons $546M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 per diluted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1.835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1.82-$1.85) vs. cons $1.82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~3.25% midpoint (3.0%-3.5%) vs. cons 3.20%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credit loss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~70 bps vs. cons 78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Cash rent from signed-lease commencements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~$31M vs. cons $31M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KIM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(STABILIZE)</w:t>
            </w:r>
          </w:p>
        </w:tc>
        <w:tc>
          <w:tcPr/>
          <w:p>
            <w:pPr>
              <w:pStyle w:val="Compact"/>
            </w:pPr>
            <w:r>
              <w:t xml:space="preserve">Day-5 residual ~+0.8% vs. day-1 residual ~+1.3%: modest NOI and guidance upside should support estimates, but an approximately $1.835 FFO-guide midpoint implies only about</w:t>
            </w:r>
            <w:r>
              <w:t xml:space="preserve"> </w:t>
            </w:r>
            <m:oMath>
              <m:r>
                <m:t>0.915</m:t>
              </m:r>
              <m:r>
                <m:t>o</m:t>
              </m:r>
              <m:r>
                <m:t>f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F</m:t>
              </m:r>
              <m:r>
                <m:t>F</m:t>
              </m:r>
              <m:r>
                <m:t>O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f</m:t>
              </m:r>
              <m:r>
                <m:t>i</m:t>
              </m:r>
              <m:r>
                <m:t>r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F</m:t>
              </m:r>
              <m:r>
                <m:t>F</m:t>
              </m:r>
              <m:r>
                <m:t>O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0.92, limiting out-period revisions and causing partial consolidation rather than strong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2026-08-04T00:32:33Z</dcterms:created>
  <dcterms:modified xsi:type="dcterms:W3CDTF">2026-08-04T00:32:33Z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