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kim-2q26-earnings-preview"/>
    <w:p>
      <w:pPr>
        <w:pStyle w:val="Heading1"/>
      </w:pPr>
      <w:r>
        <w:t xml:space="preserve">KIM 2Q26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Kimco scheduled its second-quarter results for</w:t>
      </w:r>
      <w:r>
        <w:t xml:space="preserve"> </w:t>
      </w:r>
      <w:r>
        <w:rPr>
          <w:b/>
          <w:bCs/>
        </w:rPr>
        <w:t xml:space="preserve">Tuesday, August 4, 2026, before the market opens</w:t>
      </w:r>
      <w:r>
        <w:t xml:space="preserve">, with the call at</w:t>
      </w:r>
      <w:r>
        <w:t xml:space="preserve"> </w:t>
      </w:r>
      <w:r>
        <w:rPr>
          <w:b/>
          <w:bCs/>
        </w:rPr>
        <w:t xml:space="preserve">8:30 a.m. ET</w:t>
      </w:r>
      <w:r>
        <w:t xml:space="preserve">—so the report is scheduled for today, not tomorrow. At my research cutoff, the 2Q release had not yet appeared in the company/SEC sources I checked, so this remains a pre-report preview. (</w:t>
      </w:r>
      <w:hyperlink r:id="rId9">
        <w:r>
          <w:rPr>
            <w:rStyle w:val="Hyperlink"/>
          </w:rPr>
          <w:t xml:space="preserve">globenewswire.com</w:t>
        </w:r>
      </w:hyperlink>
      <w:r>
        <w:t xml:space="preserve">)</w:t>
      </w:r>
    </w:p>
    <w:bookmarkStart w:id="10" w:name="executive-view"/>
    <w:p>
      <w:pPr>
        <w:pStyle w:val="Heading2"/>
      </w:pPr>
      <w:r>
        <w:t xml:space="preserve">Executive view</w:t>
      </w:r>
    </w:p>
    <w:p>
      <w:pPr>
        <w:pStyle w:val="FirstParagraph"/>
      </w:pPr>
      <w:r>
        <w:t xml:space="preserve">Kimco enters the quarter with strong shopping-center fundamentals, a record backlog of signed leases awaiting rent commencement, low tenant credit losses, and its best leverage metrics in years. The central question is no longer whether retailer demand exists; it is</w:t>
      </w:r>
      <w:r>
        <w:t xml:space="preserve"> </w:t>
      </w:r>
      <w:r>
        <w:rPr>
          <w:b/>
          <w:bCs/>
        </w:rPr>
        <w:t xml:space="preserve">how quickly Kimco can translate that demand into economic occupancy, cash NOI, and FFO growth</w:t>
      </w:r>
      <w:r>
        <w:t xml:space="preserve">.</w:t>
      </w:r>
    </w:p>
    <w:p>
      <w:pPr>
        <w:pStyle w:val="BodyText"/>
      </w:pPr>
      <w:r>
        <w:t xml:space="preserve">Expectations have also risen. KIM closed August 3 at</w:t>
      </w:r>
      <w:r>
        <w:t xml:space="preserve"> </w:t>
      </w:r>
      <w:r>
        <w:rPr>
          <w:b/>
          <w:bCs/>
        </w:rPr>
        <w:t xml:space="preserve">$25.42</w:t>
      </w:r>
      <w:r>
        <w:t xml:space="preserve">, approximately</w:t>
      </w:r>
      <w:r>
        <w:t xml:space="preserve"> </w:t>
      </w:r>
      <w:r>
        <w:rPr>
          <w:b/>
          <w:bCs/>
        </w:rPr>
        <w:t xml:space="preserve">27% above its January 2 close</w:t>
      </w:r>
      <w:r>
        <w:t xml:space="preserve">, and now trades around</w:t>
      </w:r>
      <w:r>
        <w:t xml:space="preserve"> </w:t>
      </w:r>
      <w:r>
        <w:rPr>
          <w:b/>
          <w:bCs/>
        </w:rPr>
        <w:t xml:space="preserve">13.9x</w:t>
      </w:r>
      <w:r>
        <w:t xml:space="preserve"> </w:t>
      </w:r>
      <w:r>
        <w:t xml:space="preserve">the midpoint of 2026 FFO guidance with a roughly</w:t>
      </w:r>
      <w:r>
        <w:t xml:space="preserve"> </w:t>
      </w:r>
      <w:r>
        <w:rPr>
          <w:b/>
          <w:bCs/>
        </w:rPr>
        <w:t xml:space="preserve">4.1% indicated dividend yield</w:t>
      </w:r>
      <w:r>
        <w:t xml:space="preserve">. A routine quarterly beat may therefore be less important than evidence supporting an accelerating second half and potentially higher full-year guidance.</w:t>
      </w:r>
    </w:p>
    <w:bookmarkEnd w:id="10"/>
    <w:bookmarkStart w:id="12" w:name="what-the-street-appears-to-expect"/>
    <w:p>
      <w:pPr>
        <w:pStyle w:val="Heading2"/>
      </w:pPr>
      <w:r>
        <w:t xml:space="preserve">What the Street appears to expect</w:t>
      </w:r>
    </w:p>
    <w:p>
      <w:pPr>
        <w:pStyle w:val="FirstParagraph"/>
      </w:pPr>
      <w:r>
        <w:t xml:space="preserve">Public estimate feeds are inconsistent for REITs because some label GAAP EPS and FFO interchangeably. The available estimates indicate approximately: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 expectation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FFO/common earnings metric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$0.46 per share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GAAP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About $0.20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543</m:t>
              </m:r>
              <m:r>
                <m:t>m</m:t>
              </m:r>
              <m:r>
                <m:t>i</m:t>
              </m:r>
              <m:r>
                <m:t>l</m:t>
              </m:r>
              <m:r>
                <m:t>l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546 million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Current 2026 FFO guidance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1.81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1.84 per share</w:t>
            </w:r>
          </w:p>
        </w:tc>
      </w:tr>
    </w:tbl>
    <w:p>
      <w:pPr>
        <w:pStyle w:val="BodyText"/>
      </w:pPr>
      <w:r>
        <w:t xml:space="preserve">The $0.46 figure is the most relevant quarterly hurdle for investors focused on recurring REIT earnings. It would represent roughly</w:t>
      </w:r>
      <w:r>
        <w:t xml:space="preserve"> </w:t>
      </w:r>
      <w:r>
        <w:rPr>
          <w:b/>
          <w:bCs/>
        </w:rPr>
        <w:t xml:space="preserve">4.5% growth</w:t>
      </w:r>
      <w:r>
        <w:t xml:space="preserve"> </w:t>
      </w:r>
      <w:r>
        <w:t xml:space="preserve">from 2Q25 FFO of $0.44. Public revenue estimates imply approximately 3%–4% year-over-year growth. (</w:t>
      </w:r>
      <w:hyperlink r:id="rId11">
        <w:r>
          <w:rPr>
            <w:rStyle w:val="Hyperlink"/>
          </w:rPr>
          <w:t xml:space="preserve">tipranks.com</w:t>
        </w:r>
      </w:hyperlink>
      <w:r>
        <w:t xml:space="preserve">)</w:t>
      </w:r>
    </w:p>
    <w:bookmarkEnd w:id="12"/>
    <w:bookmarkStart w:id="18" w:name="the-five-most-important-issues"/>
    <w:p>
      <w:pPr>
        <w:pStyle w:val="Heading2"/>
      </w:pPr>
      <w:r>
        <w:t xml:space="preserve">The five most important issues</w:t>
      </w:r>
    </w:p>
    <w:bookmarkStart w:id="13" w:name="Xf2ec289425e8e5799212ef48525c8bd4d0f838f"/>
    <w:p>
      <w:pPr>
        <w:pStyle w:val="Heading3"/>
      </w:pPr>
      <w:r>
        <w:t xml:space="preserve">1. Is the signed-not-open pipeline finally converting into cash flow?</w:t>
      </w:r>
    </w:p>
    <w:p>
      <w:pPr>
        <w:pStyle w:val="FirstParagraph"/>
      </w:pPr>
      <w:r>
        <w:t xml:space="preserve">Kimco finished 1Q with a record</w:t>
      </w:r>
      <w:r>
        <w:t xml:space="preserve"> </w:t>
      </w:r>
      <w:r>
        <w:rPr>
          <w:b/>
          <w:bCs/>
        </w:rPr>
        <w:t xml:space="preserve">$77 million of annual base rent in signed leases that had not yet commenced</w:t>
      </w:r>
      <w:r>
        <w:t xml:space="preserve">, represented by a 410-basis-point spread between leased and economic occupancy. More than 60% of that pipeline was expected to commence during 2026, weighted toward the second half.</w:t>
      </w:r>
    </w:p>
    <w:p>
      <w:pPr>
        <w:pStyle w:val="BodyText"/>
      </w:pPr>
      <w:r>
        <w:t xml:space="preserve">Management raised its estimate of 2026 cash rent from commencements to</w:t>
      </w:r>
      <w:r>
        <w:t xml:space="preserve"> </w:t>
      </w:r>
      <m:oMath>
        <m:r>
          <m:t>31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i</m:t>
        </m:r>
        <m:r>
          <m:t>n</m:t>
        </m:r>
        <m:r>
          <m:t>c</m:t>
        </m:r>
        <m:r>
          <m:t>l</m:t>
        </m:r>
        <m:r>
          <m:t>u</m:t>
        </m:r>
        <m:r>
          <m:t>d</m:t>
        </m:r>
        <m:r>
          <m:t>i</m:t>
        </m:r>
        <m:r>
          <m:t>n</m:t>
        </m:r>
        <m:r>
          <m:t>g</m:t>
        </m:r>
        <m:r>
          <m:t>m</m:t>
        </m:r>
        <m:r>
          <m:t>o</m:t>
        </m:r>
        <m:r>
          <m:t>r</m:t>
        </m:r>
        <m:r>
          <m:t>e</m:t>
        </m:r>
        <m:r>
          <m:t>t</m:t>
        </m:r>
        <m:r>
          <m:t>h</m:t>
        </m:r>
        <m:r>
          <m:t>a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18 million expected from leases commencing during 2Q–4Q</w:t>
      </w:r>
      <w:r>
        <w:t xml:space="preserve">.</w:t>
      </w:r>
    </w:p>
    <w:p>
      <w:pPr>
        <w:pStyle w:val="BodyText"/>
      </w:pPr>
      <w:r>
        <w:t xml:space="preserve">Investors should focus on:</w:t>
      </w:r>
    </w:p>
    <w:p>
      <w:pPr>
        <w:pStyle w:val="Compact"/>
        <w:numPr>
          <w:ilvl w:val="0"/>
          <w:numId w:val="1001"/>
        </w:numPr>
      </w:pPr>
      <w:r>
        <w:t xml:space="preserve">Economic occupancy versus 1Q’s approximately 92.2%.</w:t>
      </w:r>
    </w:p>
    <w:p>
      <w:pPr>
        <w:pStyle w:val="Compact"/>
        <w:numPr>
          <w:ilvl w:val="0"/>
          <w:numId w:val="1001"/>
        </w:numPr>
      </w:pPr>
      <w:r>
        <w:t xml:space="preserve">The leased-to-economic occupancy spread.</w:t>
      </w:r>
    </w:p>
    <w:p>
      <w:pPr>
        <w:pStyle w:val="Compact"/>
        <w:numPr>
          <w:ilvl w:val="0"/>
          <w:numId w:val="1001"/>
        </w:numPr>
      </w:pPr>
      <w:r>
        <w:t xml:space="preserve">Annual base rent remaining in the pipeline.</w:t>
      </w:r>
    </w:p>
    <w:p>
      <w:pPr>
        <w:pStyle w:val="Compact"/>
        <w:numPr>
          <w:ilvl w:val="0"/>
          <w:numId w:val="1001"/>
        </w:numPr>
      </w:pPr>
      <w:r>
        <w:t xml:space="preserve">Whether projected 2026 commencement income remains at least $31 million.</w:t>
      </w:r>
    </w:p>
    <w:p>
      <w:pPr>
        <w:pStyle w:val="Compact"/>
        <w:numPr>
          <w:ilvl w:val="0"/>
          <w:numId w:val="1001"/>
        </w:numPr>
      </w:pPr>
      <w:r>
        <w:t xml:space="preserve">Construction delays, tenant opening delays, or higher landlord costs.</w:t>
      </w:r>
    </w:p>
    <w:p>
      <w:pPr>
        <w:pStyle w:val="FirstParagraph"/>
      </w:pPr>
      <w:r>
        <w:t xml:space="preserve">A large pipeline is valuable only if tenants open and begin paying rent.</w:t>
      </w:r>
      <w:r>
        <w:t xml:space="preserve"> </w:t>
      </w:r>
      <w:r>
        <w:rPr>
          <w:b/>
          <w:bCs/>
        </w:rPr>
        <w:t xml:space="preserve">Improvement in economic occupancy is likely the single most important operating KPI in this report.</w:t>
      </w:r>
    </w:p>
    <w:bookmarkEnd w:id="13"/>
    <w:bookmarkStart w:id="14" w:name="X7b280e3332bb41b4c50246cd04387f1717aa990"/>
    <w:p>
      <w:pPr>
        <w:pStyle w:val="Heading3"/>
      </w:pPr>
      <w:r>
        <w:t xml:space="preserve">2. Same-property NOI needs to begin accelerating</w:t>
      </w:r>
    </w:p>
    <w:p>
      <w:pPr>
        <w:pStyle w:val="FirstParagraph"/>
      </w:pPr>
      <w:r>
        <w:t xml:space="preserve">First-quarter same-property NOI growth was only</w:t>
      </w:r>
      <w:r>
        <w:t xml:space="preserve"> </w:t>
      </w:r>
      <w:r>
        <w:rPr>
          <w:b/>
          <w:bCs/>
        </w:rPr>
        <w:t xml:space="preserve">1.7%</w:t>
      </w:r>
      <w:r>
        <w:t xml:space="preserve">, but management described that quarter as the low point because Kimco was lapping rents associated with bankrupt or vacated retailers such as JOANN, Party City, Big Lots, and Rite Aid.</w:t>
      </w:r>
    </w:p>
    <w:p>
      <w:pPr>
        <w:pStyle w:val="BodyText"/>
      </w:pPr>
      <w:r>
        <w:t xml:space="preserve">The company raised its full-year same-property NOI outlook to</w:t>
      </w:r>
      <w:r>
        <w:t xml:space="preserve"> </w:t>
      </w:r>
      <w:r>
        <w:rPr>
          <w:b/>
          <w:bCs/>
        </w:rPr>
        <w:t xml:space="preserve">2.8%–3.5%</w:t>
      </w:r>
      <w:r>
        <w:t xml:space="preserve">. Simple quarterly math suggests that, after 1Q’s 1.7%, the final three quarters collectively need to average roughly</w:t>
      </w:r>
      <w:r>
        <w:t xml:space="preserve"> </w:t>
      </w:r>
      <w:r>
        <w:rPr>
          <w:b/>
          <w:bCs/>
        </w:rPr>
        <w:t xml:space="preserve">3.2%–4.1% growth</w:t>
      </w:r>
      <w:r>
        <w:t xml:space="preserve"> </w:t>
      </w:r>
      <w:r>
        <w:t xml:space="preserve">to reach that range.</w:t>
      </w:r>
    </w:p>
    <w:p>
      <w:pPr>
        <w:pStyle w:val="BodyText"/>
      </w:pPr>
      <w:r>
        <w:t xml:space="preserve">That does not require 2Q alone to reach 4%, given the back-half weighting of lease commencements. But investors should expect:</w:t>
      </w:r>
    </w:p>
    <w:p>
      <w:pPr>
        <w:pStyle w:val="Compact"/>
        <w:numPr>
          <w:ilvl w:val="0"/>
          <w:numId w:val="1002"/>
        </w:numPr>
      </w:pPr>
      <w:r>
        <w:t xml:space="preserve">A clear sequential improvement from 1.7%.</w:t>
      </w:r>
    </w:p>
    <w:p>
      <w:pPr>
        <w:pStyle w:val="Compact"/>
        <w:numPr>
          <w:ilvl w:val="0"/>
          <w:numId w:val="1002"/>
        </w:numPr>
      </w:pPr>
      <w:r>
        <w:t xml:space="preserve">Higher minimum rent growth.</w:t>
      </w:r>
    </w:p>
    <w:p>
      <w:pPr>
        <w:pStyle w:val="Compact"/>
        <w:numPr>
          <w:ilvl w:val="0"/>
          <w:numId w:val="1002"/>
        </w:numPr>
      </w:pPr>
      <w:r>
        <w:t xml:space="preserve">Better recovery income or margins.</w:t>
      </w:r>
    </w:p>
    <w:p>
      <w:pPr>
        <w:pStyle w:val="Compact"/>
        <w:numPr>
          <w:ilvl w:val="0"/>
          <w:numId w:val="1002"/>
        </w:numPr>
      </w:pPr>
      <w:r>
        <w:t xml:space="preserve">Continued guidance for further acceleration in 3Q and 4Q.</w:t>
      </w:r>
    </w:p>
    <w:p>
      <w:pPr>
        <w:pStyle w:val="FirstParagraph"/>
      </w:pPr>
      <w:r>
        <w:t xml:space="preserve">A print stuck near 2% without an explanation tied to commencement timing would undermine the core second-half thesis.</w:t>
      </w:r>
    </w:p>
    <w:bookmarkEnd w:id="14"/>
    <w:bookmarkStart w:id="15" w:name="X5ee42e2d256adfa2397388eba889cafde81feaa"/>
    <w:p>
      <w:pPr>
        <w:pStyle w:val="Heading3"/>
      </w:pPr>
      <w:r>
        <w:t xml:space="preserve">3. Leasing demand should remain strong—but quality matters more than volume</w:t>
      </w:r>
    </w:p>
    <w:p>
      <w:pPr>
        <w:pStyle w:val="FirstParagraph"/>
      </w:pPr>
      <w:r>
        <w:t xml:space="preserve">Kimco’s 1Q operating metrics were robust: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96.3% leased occupancy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97.9% anchor occupancy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92.5% small-shop occupancy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23.8% new-lease cash rent spreads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11.3% blended spreads</w:t>
      </w:r>
    </w:p>
    <w:p>
      <w:pPr>
        <w:pStyle w:val="Compact"/>
        <w:numPr>
          <w:ilvl w:val="0"/>
          <w:numId w:val="1003"/>
        </w:numPr>
      </w:pPr>
      <w:r>
        <w:t xml:space="preserve">Record new-lease rents near</w:t>
      </w:r>
      <w:r>
        <w:t xml:space="preserve"> </w:t>
      </w:r>
      <w:r>
        <w:rPr>
          <w:b/>
          <w:bCs/>
        </w:rPr>
        <w:t xml:space="preserve">$29 per square foot</w:t>
      </w:r>
    </w:p>
    <w:p>
      <w:pPr>
        <w:pStyle w:val="FirstParagraph"/>
      </w:pPr>
      <w:r>
        <w:t xml:space="preserve">Management also indicated first-half tenant retention was running above 95%, while almost all the recently vacated anchor boxes had already been resolved or were in negotiation.</w:t>
      </w:r>
    </w:p>
    <w:p>
      <w:pPr>
        <w:pStyle w:val="BodyText"/>
      </w:pPr>
      <w:r>
        <w:t xml:space="preserve">For 2Q, investors should look beyond the headline leasing spread: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Lease economics:</w:t>
      </w:r>
      <w:r>
        <w:t xml:space="preserve"> </w:t>
      </w:r>
      <w:r>
        <w:t xml:space="preserve">Are strong spreads being purchased with excessive tenant allowances?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Retention:</w:t>
      </w:r>
      <w:r>
        <w:t xml:space="preserve"> </w:t>
      </w:r>
      <w:r>
        <w:t xml:space="preserve">Does retention remain unusually high?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Anchor occupancy:</w:t>
      </w:r>
      <w:r>
        <w:t xml:space="preserve"> </w:t>
      </w:r>
      <w:r>
        <w:t xml:space="preserve">Is Kimco recovering toward prior peak levels?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Small shops:</w:t>
      </w:r>
      <w:r>
        <w:t xml:space="preserve"> </w:t>
      </w:r>
      <w:r>
        <w:t xml:space="preserve">Can occupancy exceed the already strong 92.5% level?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Backfill timing:</w:t>
      </w:r>
      <w:r>
        <w:t xml:space="preserve"> </w:t>
      </w:r>
      <w:r>
        <w:t xml:space="preserve">How quickly are former American Signature and other vacated spaces being re-leased?</w:t>
      </w:r>
    </w:p>
    <w:p>
      <w:pPr>
        <w:pStyle w:val="FirstParagraph"/>
      </w:pPr>
      <w:r>
        <w:t xml:space="preserve">Strong spreads accompanied by rising leasing costs and a longer time to opening would be less valuable than the headline suggests.</w:t>
      </w:r>
    </w:p>
    <w:bookmarkEnd w:id="15"/>
    <w:bookmarkStart w:id="16" w:name="X920dee78af68b8c5d5677adb26fb731006f52e5"/>
    <w:p>
      <w:pPr>
        <w:pStyle w:val="Heading3"/>
      </w:pPr>
      <w:r>
        <w:t xml:space="preserve">4. Tenant credit remains a potential upside lever</w:t>
      </w:r>
    </w:p>
    <w:p>
      <w:pPr>
        <w:pStyle w:val="FirstParagraph"/>
      </w:pPr>
      <w:r>
        <w:t xml:space="preserve">Credit loss was only</w:t>
      </w:r>
      <w:r>
        <w:t xml:space="preserve"> </w:t>
      </w:r>
      <w:r>
        <w:rPr>
          <w:b/>
          <w:bCs/>
        </w:rPr>
        <w:t xml:space="preserve">52 basis points</w:t>
      </w:r>
      <w:r>
        <w:t xml:space="preserve"> </w:t>
      </w:r>
      <w:r>
        <w:t xml:space="preserve">in 1Q, prompting Kimco to improve its full-year assumption to</w:t>
      </w:r>
      <w:r>
        <w:t xml:space="preserve"> </w:t>
      </w:r>
      <w:r>
        <w:rPr>
          <w:b/>
          <w:bCs/>
        </w:rPr>
        <w:t xml:space="preserve">65–90 basis points</w:t>
      </w:r>
      <w:r>
        <w:t xml:space="preserve">, from 75–100 basis points.</w:t>
      </w:r>
    </w:p>
    <w:p>
      <w:pPr>
        <w:pStyle w:val="BodyText"/>
      </w:pPr>
      <w:r>
        <w:t xml:space="preserve">The portfolio is relatively diversified: at the end of 1Q, its five largest tenants—TJX, Ross, Burlington, Amazon/Whole Foods, and Albertsons—each represented less than 4% of annualized base rent. The necessity, grocery, off-price, fitness, and service orientation also provides some insulation from discretionary consumer weakness.</w:t>
      </w:r>
    </w:p>
    <w:p>
      <w:pPr>
        <w:pStyle w:val="BodyText"/>
      </w:pPr>
      <w:r>
        <w:t xml:space="preserve">Questions for this quarter include:</w:t>
      </w:r>
    </w:p>
    <w:p>
      <w:pPr>
        <w:pStyle w:val="Compact"/>
        <w:numPr>
          <w:ilvl w:val="0"/>
          <w:numId w:val="1005"/>
        </w:numPr>
      </w:pPr>
      <w:r>
        <w:t xml:space="preserve">Did credit loss remain below the full-year range?</w:t>
      </w:r>
    </w:p>
    <w:p>
      <w:pPr>
        <w:pStyle w:val="Compact"/>
        <w:numPr>
          <w:ilvl w:val="0"/>
          <w:numId w:val="1005"/>
        </w:numPr>
      </w:pPr>
      <w:r>
        <w:t xml:space="preserve">Has small-shop delinquency increased?</w:t>
      </w:r>
    </w:p>
    <w:p>
      <w:pPr>
        <w:pStyle w:val="Compact"/>
        <w:numPr>
          <w:ilvl w:val="0"/>
          <w:numId w:val="1005"/>
        </w:numPr>
      </w:pPr>
      <w:r>
        <w:t xml:space="preserve">Are tariffs, fuel costs, or softer consumer spending changing retailer expansion plans?</w:t>
      </w:r>
    </w:p>
    <w:p>
      <w:pPr>
        <w:pStyle w:val="Compact"/>
        <w:numPr>
          <w:ilvl w:val="0"/>
          <w:numId w:val="1005"/>
        </w:numPr>
      </w:pPr>
      <w:r>
        <w:t xml:space="preserve">Has management identified any new watch-list tenants?</w:t>
      </w:r>
    </w:p>
    <w:p>
      <w:pPr>
        <w:pStyle w:val="FirstParagraph"/>
      </w:pPr>
      <w:r>
        <w:t xml:space="preserve">Another quarter near or below 60 basis points could support the upper end—or an increase—of NOI and FFO guidance.</w:t>
      </w:r>
    </w:p>
    <w:bookmarkEnd w:id="16"/>
    <w:bookmarkStart w:id="17" w:name="X419915c1b2625a349c4f829862e18489fade0f4"/>
    <w:p>
      <w:pPr>
        <w:pStyle w:val="Heading3"/>
      </w:pPr>
      <w:r>
        <w:t xml:space="preserve">5. Will management raise guidance?</w:t>
      </w:r>
    </w:p>
    <w:p>
      <w:pPr>
        <w:pStyle w:val="FirstParagraph"/>
      </w:pPr>
      <w:r>
        <w:t xml:space="preserve">Current full-year guidance is</w:t>
      </w:r>
      <w:r>
        <w:t xml:space="preserve"> </w:t>
      </w:r>
      <m:oMath>
        <m:r>
          <m:t>1.81</m:t>
        </m:r>
        <m:r>
          <m:rPr>
            <m:sty m:val="p"/>
          </m:rPr>
          <m:t>–</m:t>
        </m:r>
      </m:oMath>
      <w:r>
        <w:rPr>
          <w:b/>
          <w:bCs/>
        </w:rPr>
        <w:t xml:space="preserve">1.84 of FFO per share</w:t>
      </w:r>
      <w:r>
        <w:t xml:space="preserve">. If 2Q FFO is $0.46, first-half FFO would total approximately $0.92, leaving</w:t>
      </w:r>
      <w:r>
        <w:t xml:space="preserve"> </w:t>
      </w:r>
      <m:oMath>
        <m:r>
          <m:t>0.89</m:t>
        </m:r>
        <m:r>
          <m:rPr>
            <m:sty m:val="p"/>
          </m:rPr>
          <m:t>–</m:t>
        </m:r>
      </m:oMath>
      <w:r>
        <w:t xml:space="preserve">0.92 for the second half.</w:t>
      </w:r>
    </w:p>
    <w:p>
      <w:pPr>
        <w:pStyle w:val="BodyText"/>
      </w:pPr>
      <w:r>
        <w:t xml:space="preserve">That hurdle appears manageable given the expected lease-opening ramp, although there are important offsets:</w:t>
      </w:r>
    </w:p>
    <w:p>
      <w:pPr>
        <w:pStyle w:val="Compact"/>
        <w:numPr>
          <w:ilvl w:val="0"/>
          <w:numId w:val="1006"/>
        </w:numPr>
      </w:pPr>
      <w:r>
        <w:t xml:space="preserve">1Q benefited from approximately</w:t>
      </w:r>
      <w:r>
        <w:t xml:space="preserve"> </w:t>
      </w:r>
      <w:r>
        <w:rPr>
          <w:b/>
          <w:bCs/>
        </w:rPr>
        <w:t xml:space="preserve">$7 million of accelerated, noncash below-market rent</w:t>
      </w:r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Percentage rent was seasonally strong in 1Q.</w:t>
      </w:r>
    </w:p>
    <w:p>
      <w:pPr>
        <w:pStyle w:val="Compact"/>
        <w:numPr>
          <w:ilvl w:val="0"/>
          <w:numId w:val="1006"/>
        </w:numPr>
      </w:pPr>
      <w:r>
        <w:t xml:space="preserve">Refinancing creates an interest-expense headwind.</w:t>
      </w:r>
    </w:p>
    <w:p>
      <w:pPr>
        <w:pStyle w:val="Compact"/>
        <w:numPr>
          <w:ilvl w:val="0"/>
          <w:numId w:val="1006"/>
        </w:numPr>
      </w:pPr>
      <w:r>
        <w:t xml:space="preserve">Dispositions can temporarily reduce NOI.</w:t>
      </w:r>
    </w:p>
    <w:p>
      <w:pPr>
        <w:pStyle w:val="Compact"/>
        <w:numPr>
          <w:ilvl w:val="0"/>
          <w:numId w:val="1006"/>
        </w:numPr>
      </w:pPr>
      <w:r>
        <w:t xml:space="preserve">The operating-platform overhaul may create costs before all efficiencies are realized.</w:t>
      </w:r>
    </w:p>
    <w:p>
      <w:pPr>
        <w:pStyle w:val="FirstParagraph"/>
      </w:pPr>
      <w:r>
        <w:t xml:space="preserve">A simple guidance reaffirmation would not be a failure. However, given the strong stock performance and management’s prior confidence, the market may be looking for at least a</w:t>
      </w:r>
      <w:r>
        <w:t xml:space="preserve"> </w:t>
      </w:r>
      <w:r>
        <w:rPr>
          <w:b/>
          <w:bCs/>
        </w:rPr>
        <w:t xml:space="preserve">narrowing toward the upper half</w:t>
      </w:r>
      <w:r>
        <w:t xml:space="preserve"> </w:t>
      </w:r>
      <w:r>
        <w:t xml:space="preserve">of the range.</w:t>
      </w:r>
    </w:p>
    <w:bookmarkEnd w:id="17"/>
    <w:bookmarkEnd w:id="18"/>
    <w:bookmarkStart w:id="21" w:name="Xc12c3d1f80038f11128c8e9f162ff738c9c4d6c"/>
    <w:p>
      <w:pPr>
        <w:pStyle w:val="Heading2"/>
      </w:pPr>
      <w:r>
        <w:t xml:space="preserve">Capital allocation and the June financing</w:t>
      </w:r>
    </w:p>
    <w:p>
      <w:pPr>
        <w:pStyle w:val="FirstParagraph"/>
      </w:pPr>
      <w:r>
        <w:t xml:space="preserve">In June, Kimco issued</w:t>
      </w:r>
      <w:r>
        <w:t xml:space="preserve"> </w:t>
      </w:r>
      <m:oMath>
        <m:r>
          <m:t>600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3.50</m:t>
        </m:r>
      </m:oMath>
      <w:r>
        <w:rPr>
          <w:b/>
          <w:bCs/>
        </w:rPr>
        <w:t xml:space="preserve">32.36 per share</w:t>
      </w:r>
      <w:r>
        <w:t xml:space="preserve">. (</w:t>
      </w:r>
      <w:hyperlink r:id="rId19">
        <w:r>
          <w:rPr>
            <w:rStyle w:val="Hyperlink"/>
          </w:rPr>
          <w:t xml:space="preserve">sec.gov</w:t>
        </w:r>
      </w:hyperlink>
      <w:r>
        <w:t xml:space="preserve">)</w:t>
      </w:r>
    </w:p>
    <w:p>
      <w:pPr>
        <w:pStyle w:val="BodyText"/>
      </w:pPr>
      <w:r>
        <w:t xml:space="preserve">Kimco used approximately</w:t>
      </w:r>
      <w:r>
        <w:t xml:space="preserve"> </w:t>
      </w:r>
      <w:r>
        <w:rPr>
          <w:b/>
          <w:bCs/>
        </w:rPr>
        <w:t xml:space="preserve">$104.7 million</w:t>
      </w:r>
      <w:r>
        <w:t xml:space="preserve"> </w:t>
      </w:r>
      <w:r>
        <w:t xml:space="preserve">to repurchase about</w:t>
      </w:r>
      <w:r>
        <w:t xml:space="preserve"> </w:t>
      </w:r>
      <w:r>
        <w:rPr>
          <w:b/>
          <w:bCs/>
        </w:rPr>
        <w:t xml:space="preserve">4.13 million common shares</w:t>
      </w:r>
      <w:r>
        <w:t xml:space="preserve"> </w:t>
      </w:r>
      <w:r>
        <w:t xml:space="preserve">and designated the remaining proceeds for debt repayment, acquisitions, investments, redevelopment, and other corporate purposes. (</w:t>
      </w:r>
      <w:hyperlink r:id="rId20">
        <w:r>
          <w:rPr>
            <w:rStyle w:val="Hyperlink"/>
          </w:rPr>
          <w:t xml:space="preserve">sec.gov</w:t>
        </w:r>
      </w:hyperlink>
      <w:r>
        <w:t xml:space="preserve">)</w:t>
      </w:r>
    </w:p>
    <w:p>
      <w:pPr>
        <w:pStyle w:val="BodyText"/>
      </w:pPr>
      <w:r>
        <w:t xml:space="preserve">This quarter’s call should clarify:</w:t>
      </w:r>
    </w:p>
    <w:p>
      <w:pPr>
        <w:pStyle w:val="Compact"/>
        <w:numPr>
          <w:ilvl w:val="0"/>
          <w:numId w:val="1007"/>
        </w:numPr>
      </w:pPr>
      <w:r>
        <w:t xml:space="preserve">Which 2026 maturities have been or will be repaid.</w:t>
      </w:r>
    </w:p>
    <w:p>
      <w:pPr>
        <w:pStyle w:val="Compact"/>
        <w:numPr>
          <w:ilvl w:val="0"/>
          <w:numId w:val="1007"/>
        </w:numPr>
      </w:pPr>
      <w:r>
        <w:t xml:space="preserve">The expected net FFO impact of the financing and repurchase.</w:t>
      </w:r>
    </w:p>
    <w:p>
      <w:pPr>
        <w:pStyle w:val="Compact"/>
        <w:numPr>
          <w:ilvl w:val="0"/>
          <w:numId w:val="1007"/>
        </w:numPr>
      </w:pPr>
      <w:r>
        <w:t xml:space="preserve">Whether the stronger share price changes Kimco’s willingness to issue equity.</w:t>
      </w:r>
    </w:p>
    <w:p>
      <w:pPr>
        <w:pStyle w:val="Compact"/>
        <w:numPr>
          <w:ilvl w:val="0"/>
          <w:numId w:val="1007"/>
        </w:numPr>
      </w:pPr>
      <w:r>
        <w:t xml:space="preserve">Progress toward its</w:t>
      </w:r>
      <w:r>
        <w:t xml:space="preserve"> </w:t>
      </w:r>
      <m:oMath>
        <m:r>
          <m:t>300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rPr>
          <w:b/>
          <w:bCs/>
        </w:rPr>
        <w:t xml:space="preserve">500 million</w:t>
      </w:r>
      <w:r>
        <w:t xml:space="preserve"> </w:t>
      </w:r>
      <w:r>
        <w:t xml:space="preserve">property-transaction target.</w:t>
      </w:r>
    </w:p>
    <w:p>
      <w:pPr>
        <w:pStyle w:val="Compact"/>
        <w:numPr>
          <w:ilvl w:val="0"/>
          <w:numId w:val="1007"/>
        </w:numPr>
      </w:pPr>
      <w:r>
        <w:t xml:space="preserve">Whether acquisitions can still be completed at 6%–7% yields while dispositions occur at 5%–6%.</w:t>
      </w:r>
    </w:p>
    <w:p>
      <w:pPr>
        <w:pStyle w:val="Compact"/>
        <w:numPr>
          <w:ilvl w:val="0"/>
          <w:numId w:val="1007"/>
        </w:numPr>
      </w:pPr>
      <w:r>
        <w:t xml:space="preserve">Deployment under the structured-investment program, targeted at</w:t>
      </w:r>
      <w:r>
        <w:t xml:space="preserve"> </w:t>
      </w:r>
      <m:oMath>
        <m:r>
          <m:t>75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t xml:space="preserve">125 million net and 8%–10% yields.</w:t>
      </w:r>
    </w:p>
    <w:p>
      <w:pPr>
        <w:pStyle w:val="FirstParagraph"/>
      </w:pPr>
      <w:r>
        <w:t xml:space="preserve">The transaction program was expected to be weighted toward the second half, making pipeline commentary nearly as important as reported 2Q activity.</w:t>
      </w:r>
    </w:p>
    <w:bookmarkEnd w:id="21"/>
    <w:bookmarkStart w:id="25" w:name="scenario-framework"/>
    <w:p>
      <w:pPr>
        <w:pStyle w:val="Heading2"/>
      </w:pPr>
      <w:r>
        <w:t xml:space="preserve">Scenario framework</w:t>
      </w:r>
    </w:p>
    <w:bookmarkStart w:id="22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08"/>
        </w:numPr>
      </w:pPr>
      <w:r>
        <w:t xml:space="preserve">FFO of</w:t>
      </w:r>
      <w:r>
        <w:t xml:space="preserve"> </w:t>
      </w:r>
      <w:r>
        <w:rPr>
          <w:b/>
          <w:bCs/>
        </w:rPr>
        <w:t xml:space="preserve">$0.47 or better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t xml:space="preserve">Same-property NOI reaches at least the low-3% area.</w:t>
      </w:r>
    </w:p>
    <w:p>
      <w:pPr>
        <w:pStyle w:val="Compact"/>
        <w:numPr>
          <w:ilvl w:val="0"/>
          <w:numId w:val="1008"/>
        </w:numPr>
      </w:pPr>
      <w:r>
        <w:t xml:space="preserve">Economic occupancy moves meaningfully higher.</w:t>
      </w:r>
    </w:p>
    <w:p>
      <w:pPr>
        <w:pStyle w:val="Compact"/>
        <w:numPr>
          <w:ilvl w:val="0"/>
          <w:numId w:val="1008"/>
        </w:numPr>
      </w:pPr>
      <w:r>
        <w:t xml:space="preserve">SNO pipeline remains around $77 million or grows despite commencements.</w:t>
      </w:r>
    </w:p>
    <w:p>
      <w:pPr>
        <w:pStyle w:val="Compact"/>
        <w:numPr>
          <w:ilvl w:val="0"/>
          <w:numId w:val="1008"/>
        </w:numPr>
      </w:pPr>
      <w:r>
        <w:t xml:space="preserve">Credit loss stays near 1Q levels.</w:t>
      </w:r>
    </w:p>
    <w:p>
      <w:pPr>
        <w:pStyle w:val="Compact"/>
        <w:numPr>
          <w:ilvl w:val="0"/>
          <w:numId w:val="1008"/>
        </w:numPr>
      </w:pPr>
      <w:r>
        <w:t xml:space="preserve">Full-year FFO and/or NOI guidance is raised.</w:t>
      </w:r>
    </w:p>
    <w:bookmarkEnd w:id="22"/>
    <w:bookmarkStart w:id="23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09"/>
        </w:numPr>
      </w:pPr>
      <w:r>
        <w:t xml:space="preserve">FFO of approximately</w:t>
      </w:r>
      <w:r>
        <w:t xml:space="preserve"> </w:t>
      </w:r>
      <w:r>
        <w:rPr>
          <w:b/>
          <w:bCs/>
        </w:rPr>
        <w:t xml:space="preserve">$0.46</w:t>
      </w:r>
      <w:r>
        <w:t xml:space="preserve">.</w:t>
      </w:r>
    </w:p>
    <w:p>
      <w:pPr>
        <w:pStyle w:val="Compact"/>
        <w:numPr>
          <w:ilvl w:val="0"/>
          <w:numId w:val="1009"/>
        </w:numPr>
      </w:pPr>
      <w:r>
        <w:t xml:space="preserve">Same-property NOI improves into the high-2%/low-3% range.</w:t>
      </w:r>
    </w:p>
    <w:p>
      <w:pPr>
        <w:pStyle w:val="Compact"/>
        <w:numPr>
          <w:ilvl w:val="0"/>
          <w:numId w:val="1009"/>
        </w:numPr>
      </w:pPr>
      <w:r>
        <w:t xml:space="preserve">Leasing spreads and retention remain healthy.</w:t>
      </w:r>
    </w:p>
    <w:p>
      <w:pPr>
        <w:pStyle w:val="Compact"/>
        <w:numPr>
          <w:ilvl w:val="0"/>
          <w:numId w:val="1009"/>
        </w:numPr>
      </w:pPr>
      <w:r>
        <w:t xml:space="preserve">Management reaffirms guidance while emphasizing a stronger second half.</w:t>
      </w:r>
    </w:p>
    <w:p>
      <w:pPr>
        <w:pStyle w:val="Compact"/>
        <w:numPr>
          <w:ilvl w:val="0"/>
          <w:numId w:val="1009"/>
        </w:numPr>
      </w:pPr>
      <w:r>
        <w:t xml:space="preserve">Transaction activity remains limited but the pipeline is intact.</w:t>
      </w:r>
    </w:p>
    <w:bookmarkEnd w:id="23"/>
    <w:bookmarkStart w:id="24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0"/>
        </w:numPr>
      </w:pPr>
      <w:r>
        <w:t xml:space="preserve">FFO of</w:t>
      </w:r>
      <w:r>
        <w:t xml:space="preserve"> </w:t>
      </w:r>
      <m:oMath>
        <m:r>
          <m:t>0.44</m:t>
        </m:r>
        <m:r>
          <m:rPr>
            <m:sty m:val="p"/>
          </m:rPr>
          <m:t>–</m:t>
        </m:r>
      </m:oMath>
      <w:r>
        <w:rPr>
          <w:b/>
          <w:bCs/>
        </w:rPr>
        <w:t xml:space="preserve">0.45</w:t>
      </w:r>
      <w:r>
        <w:t xml:space="preserve">.</w:t>
      </w:r>
    </w:p>
    <w:p>
      <w:pPr>
        <w:pStyle w:val="Compact"/>
        <w:numPr>
          <w:ilvl w:val="0"/>
          <w:numId w:val="1010"/>
        </w:numPr>
      </w:pPr>
      <w:r>
        <w:t xml:space="preserve">Same-property NOI remains near 2%.</w:t>
      </w:r>
    </w:p>
    <w:p>
      <w:pPr>
        <w:pStyle w:val="Compact"/>
        <w:numPr>
          <w:ilvl w:val="0"/>
          <w:numId w:val="1010"/>
        </w:numPr>
      </w:pPr>
      <w:r>
        <w:t xml:space="preserve">Delays prevent signed leases from commencing on schedule.</w:t>
      </w:r>
    </w:p>
    <w:p>
      <w:pPr>
        <w:pStyle w:val="Compact"/>
        <w:numPr>
          <w:ilvl w:val="0"/>
          <w:numId w:val="1010"/>
        </w:numPr>
      </w:pPr>
      <w:r>
        <w:t xml:space="preserve">Credit loss or tenant watch-list commentary deteriorates.</w:t>
      </w:r>
    </w:p>
    <w:p>
      <w:pPr>
        <w:pStyle w:val="Compact"/>
        <w:numPr>
          <w:ilvl w:val="0"/>
          <w:numId w:val="1010"/>
        </w:numPr>
      </w:pPr>
      <w:r>
        <w:t xml:space="preserve">Leasing capital requirements rise.</w:t>
      </w:r>
    </w:p>
    <w:p>
      <w:pPr>
        <w:pStyle w:val="Compact"/>
        <w:numPr>
          <w:ilvl w:val="0"/>
          <w:numId w:val="1010"/>
        </w:numPr>
      </w:pPr>
      <w:r>
        <w:t xml:space="preserve">Management lowers expectations for transactions or the 2026 commencement contribution.</w:t>
      </w:r>
    </w:p>
    <w:bookmarkEnd w:id="24"/>
    <w:bookmarkEnd w:id="25"/>
    <w:bookmarkStart w:id="26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Kimco’s setup remains fundamentally favorable: high occupancy, minimal new shopping-center supply, strong retailer demand, low tenant concentration, and a large pool of contracted future rent. The challenge is that the stock’s strong 2026 performance means investors are already giving the company credit for much of that story.</w:t>
      </w:r>
    </w:p>
    <w:p>
      <w:pPr>
        <w:pStyle w:val="BodyText"/>
      </w:pPr>
      <w:r>
        <w:t xml:space="preserve">The best evidence of upside would not simply be an FFO beat. It would be a combination of: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Rising economic occupancy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Accelerating same-property NOI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Stable or improving credit loss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Sustained leasing spreads without excessive capital costs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Guidance moving toward or above the current high end</w:t>
      </w:r>
    </w:p>
    <w:p>
      <w:pPr>
        <w:pStyle w:val="FirstParagraph"/>
      </w:pPr>
      <w:r>
        <w:t xml:space="preserve">In short, this is a</w:t>
      </w:r>
      <w:r>
        <w:t xml:space="preserve"> </w:t>
      </w:r>
      <w:r>
        <w:rPr>
          <w:b/>
          <w:bCs/>
        </w:rPr>
        <w:t xml:space="preserve">conversion-and-guidance quarter</w:t>
      </w:r>
      <w:r>
        <w:t xml:space="preserve">: investors need to see the record leasing backlog beginning to show up in cash earnings.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https://www.globenewswire.com/news-release/2026/06/17/3313805/0/en/kimco-realty-invites-you-to-join-its-second-quarter-earnings-conference-call.html?utm_source=openai" TargetMode="External" /><Relationship Type="http://schemas.openxmlformats.org/officeDocument/2006/relationships/hyperlink" Id="rId20" Target="https://www.sec.gov/Archives/edgar/data/879101/000114036126024883/ef20076085_ex99-2.htm" TargetMode="External" /><Relationship Type="http://schemas.openxmlformats.org/officeDocument/2006/relationships/hyperlink" Id="rId19" Target="https://www.sec.gov/Archives/edgar/data/879101/000114036126025223/ef20076176_8k.htm?utm_source=openai" TargetMode="External" /><Relationship Type="http://schemas.openxmlformats.org/officeDocument/2006/relationships/hyperlink" Id="rId11" Target="https://www.tipranks.com/stocks/kim/earnings?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https://www.globenewswire.com/news-release/2026/06/17/3313805/0/en/kimco-realty-invites-you-to-join-its-second-quarter-earnings-conference-call.html?utm_source=openai" TargetMode="External" /><Relationship Type="http://schemas.openxmlformats.org/officeDocument/2006/relationships/hyperlink" Id="rId20" Target="https://www.sec.gov/Archives/edgar/data/879101/000114036126024883/ef20076085_ex99-2.htm" TargetMode="External" /><Relationship Type="http://schemas.openxmlformats.org/officeDocument/2006/relationships/hyperlink" Id="rId19" Target="https://www.sec.gov/Archives/edgar/data/879101/000114036126025223/ef20076176_8k.htm?utm_source=openai" TargetMode="External" /><Relationship Type="http://schemas.openxmlformats.org/officeDocument/2006/relationships/hyperlink" Id="rId11" Target="https://www.tipranks.com/stocks/kim/earnings?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2026-08-04T00:32:33Z</dcterms:created>
  <dcterms:modified xsi:type="dcterms:W3CDTF">2026-08-04T00:32:33Z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