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im-earnings-predictions--2026-08-04"/>
    <w:p>
      <w:pPr>
        <w:pStyle w:val="Heading1"/>
      </w:pPr>
      <w:r>
        <w:t xml:space="preserve">KIM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 per diluted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~$0.46 vs. cons $0.45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NOI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~2.4% vs. cons 2.4%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Economic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~92.5% vs. cons 92.5%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FFO per diluted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~$1.825 vs. cons $1.83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same-property NOI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~3.15% vs. cons 3.15%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SNO cash-rent commencement contribution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~$31.0M vs. cons $31.0M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(STABILIZE)</w:t>
            </w:r>
          </w:p>
        </w:tc>
        <w:tc>
          <w:tcPr/>
          <w:p>
            <w:pPr>
              <w:pStyle w:val="Compact"/>
            </w:pPr>
            <w:r>
              <w:t xml:space="preserve">A modest FFO beat of ~$0.46 versus</w:t>
            </w:r>
            <w:r>
              <w:t xml:space="preserve"> </w:t>
            </w:r>
            <m:oMath>
              <m:r>
                <m:t>0.45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b</m:t>
              </m:r>
              <m:r>
                <m:t>y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1.825 FY2026 FFO guidance versus ~$1.83 consensus; with no material out-period estimate upgrade, the initial ~-1.5% residual reaction should stabilize near ~-2.0% over five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2026-08-04T00:30:36Z</dcterms:created>
  <dcterms:modified xsi:type="dcterms:W3CDTF">2026-08-04T00:30:36Z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