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Xad90e3e70a3902fa1822a69ab51b56738725cae"/>
    <w:p>
      <w:pPr>
        <w:pStyle w:val="Heading1"/>
      </w:pPr>
      <w:r>
        <w:t xml:space="preserve">Kimco Realty (NYSE: KIM) — 2Q26 Earnings Preview</w:t>
      </w:r>
    </w:p>
    <w:p>
      <w:pPr>
        <w:pStyle w:val="BlockText"/>
      </w:pPr>
      <w:r>
        <w:rPr>
          <w:b/>
          <w:bCs/>
        </w:rPr>
        <w:t xml:space="preserve">Timing note:</w:t>
      </w:r>
      <w:r>
        <w:t xml:space="preserve"> </w:t>
      </w:r>
      <w:r>
        <w:t xml:space="preserve">The stated event date is</w:t>
      </w:r>
      <w:r>
        <w:t xml:space="preserve"> </w:t>
      </w:r>
      <w:r>
        <w:rPr>
          <w:b/>
          <w:bCs/>
        </w:rPr>
        <w:t xml:space="preserve">August 4, 2026</w:t>
      </w:r>
      <w:r>
        <w:t xml:space="preserve">, which is</w:t>
      </w:r>
      <w:r>
        <w:t xml:space="preserve"> </w:t>
      </w:r>
      <w:r>
        <w:rPr>
          <w:b/>
          <w:bCs/>
        </w:rPr>
        <w:t xml:space="preserve">today</w:t>
      </w:r>
      <w:r>
        <w:t xml:space="preserve">, not tomorrow. This preview therefore reflects the setup immediately ahead of Kimco’s 2Q26 report/call.</w:t>
      </w:r>
    </w:p>
    <w:bookmarkStart w:id="9" w:name="bottom-line"/>
    <w:p>
      <w:pPr>
        <w:pStyle w:val="Heading2"/>
      </w:pPr>
      <w:r>
        <w:t xml:space="preserve">Bottom line</w:t>
      </w:r>
    </w:p>
    <w:p>
      <w:pPr>
        <w:pStyle w:val="FirstParagraph"/>
      </w:pPr>
      <w:r>
        <w:t xml:space="preserve">Kimco enters 2Q with a credible organic-growth setup: high leased occupancy, record signed-not-open (SNO) rent, strong leasing spreads, and management’s expectation that same-property NOI growth accelerates through the balance of 2026. The central question is no longer whether there is embedded growth; it is whether that growth is</w:t>
      </w:r>
      <w:r>
        <w:t xml:space="preserve"> </w:t>
      </w:r>
      <w:r>
        <w:rPr>
          <w:b/>
          <w:bCs/>
        </w:rPr>
        <w:t xml:space="preserve">converting to economic occupancy and recurring cash flow quickly enough</w:t>
      </w:r>
      <w:r>
        <w:t xml:space="preserve"> </w:t>
      </w:r>
      <w:r>
        <w:t xml:space="preserve">to support the raised full-year outlook.</w:t>
      </w:r>
    </w:p>
    <w:p>
      <w:pPr>
        <w:pStyle w:val="BodyText"/>
      </w:pPr>
      <w:r>
        <w:t xml:space="preserve">The quarter may be less about a headline FFO beat than about validating the</w:t>
      </w:r>
      <w:r>
        <w:t xml:space="preserve"> </w:t>
      </w:r>
      <w:r>
        <w:rPr>
          <w:b/>
          <w:bCs/>
        </w:rPr>
        <w:t xml:space="preserve">second-half ramp</w:t>
      </w:r>
      <w:r>
        <w:t xml:space="preserve">. Investors should focus on SNO commencements, economic occupancy, credit losses, and whether management reiterates or improves its</w:t>
      </w:r>
      <w:r>
        <w:t xml:space="preserve"> </w:t>
      </w:r>
      <m:oMath>
        <m:r>
          <m:t>1.81</m:t>
        </m:r>
        <m:r>
          <m:rPr>
            <m:sty m:val="p"/>
          </m:rPr>
          <m:t>–</m:t>
        </m:r>
      </m:oMath>
      <w:r>
        <w:rPr>
          <w:b/>
          <w:bCs/>
        </w:rPr>
        <w:t xml:space="preserve">1.84</w:t>
      </w:r>
      <w:r>
        <w:t xml:space="preserve"> </w:t>
      </w:r>
      <w:r>
        <w:t xml:space="preserve">full-year FFO-per-share outlook.</w:t>
      </w:r>
    </w:p>
    <w:bookmarkEnd w:id="9"/>
    <w:bookmarkStart w:id="10" w:name="why-this-report-matters"/>
    <w:p>
      <w:pPr>
        <w:pStyle w:val="Heading2"/>
      </w:pPr>
      <w:r>
        <w:t xml:space="preserve">Why this report matters</w:t>
      </w:r>
    </w:p>
    <w:p>
      <w:pPr>
        <w:pStyle w:val="FirstParagraph"/>
      </w:pPr>
      <w:r>
        <w:t xml:space="preserve">Kimco’s 1Q result established a favorable but somewhat back-end-loaded earnings narrative:</w:t>
      </w:r>
    </w:p>
    <w:p>
      <w:pPr>
        <w:pStyle w:val="Compact"/>
        <w:numPr>
          <w:ilvl w:val="0"/>
          <w:numId w:val="1001"/>
        </w:numPr>
      </w:pPr>
      <w:r>
        <w:t xml:space="preserve">1Q FFO was</w:t>
      </w:r>
      <w:r>
        <w:t xml:space="preserve"> </w:t>
      </w:r>
      <w:r>
        <w:rPr>
          <w:b/>
          <w:bCs/>
        </w:rPr>
        <w:t xml:space="preserve">$0.46/share</w:t>
      </w:r>
      <w:r>
        <w:t xml:space="preserve">, up</w:t>
      </w:r>
      <w:r>
        <w:t xml:space="preserve"> </w:t>
      </w:r>
      <w:r>
        <w:rPr>
          <w:b/>
          <w:bCs/>
        </w:rPr>
        <w:t xml:space="preserve">4.5% year over year</w:t>
      </w:r>
      <w:r>
        <w:t xml:space="preserve">.</w:t>
      </w:r>
    </w:p>
    <w:p>
      <w:pPr>
        <w:pStyle w:val="Compact"/>
        <w:numPr>
          <w:ilvl w:val="0"/>
          <w:numId w:val="1001"/>
        </w:numPr>
      </w:pPr>
      <w:r>
        <w:t xml:space="preserve">Same-property NOI grew only</w:t>
      </w:r>
      <w:r>
        <w:t xml:space="preserve"> </w:t>
      </w:r>
      <w:r>
        <w:rPr>
          <w:b/>
          <w:bCs/>
        </w:rPr>
        <w:t xml:space="preserve">1.7%</w:t>
      </w:r>
      <w:r>
        <w:t xml:space="preserve">, but management characterized 1Q as the year’s low point and guided to</w:t>
      </w:r>
      <w:r>
        <w:t xml:space="preserve"> </w:t>
      </w:r>
      <w:r>
        <w:rPr>
          <w:b/>
          <w:bCs/>
        </w:rPr>
        <w:t xml:space="preserve">2.8%–3.5%</w:t>
      </w:r>
      <w:r>
        <w:t xml:space="preserve"> </w:t>
      </w:r>
      <w:r>
        <w:t xml:space="preserve">full-year growth.</w:t>
      </w:r>
    </w:p>
    <w:p>
      <w:pPr>
        <w:pStyle w:val="Compact"/>
        <w:numPr>
          <w:ilvl w:val="0"/>
          <w:numId w:val="1001"/>
        </w:numPr>
      </w:pPr>
      <w:r>
        <w:t xml:space="preserve">The company ended 1Q with a record</w:t>
      </w:r>
      <w:r>
        <w:t xml:space="preserve"> </w:t>
      </w:r>
      <w:r>
        <w:rPr>
          <w:b/>
          <w:bCs/>
        </w:rPr>
        <w:t xml:space="preserve">$77 million of annual base rent</w:t>
      </w:r>
      <w:r>
        <w:t xml:space="preserve"> </w:t>
      </w:r>
      <w:r>
        <w:t xml:space="preserve">in its SNO pipeline—equivalent to a</w:t>
      </w:r>
      <w:r>
        <w:t xml:space="preserve"> </w:t>
      </w:r>
      <w:r>
        <w:rPr>
          <w:b/>
          <w:bCs/>
        </w:rPr>
        <w:t xml:space="preserve">410 bp</w:t>
      </w:r>
      <w:r>
        <w:t xml:space="preserve"> </w:t>
      </w:r>
      <w:r>
        <w:t xml:space="preserve">gap between leased and economic occupancy.</w:t>
      </w:r>
    </w:p>
    <w:p>
      <w:pPr>
        <w:pStyle w:val="Compact"/>
        <w:numPr>
          <w:ilvl w:val="0"/>
          <w:numId w:val="1001"/>
        </w:numPr>
      </w:pPr>
      <w:r>
        <w:t xml:space="preserve">More than 60% of the SNO pipeline was expected to commence during 2026, with commencements weighted to the second half.</w:t>
      </w:r>
    </w:p>
    <w:p>
      <w:pPr>
        <w:pStyle w:val="FirstParagraph"/>
      </w:pPr>
      <w:r>
        <w:t xml:space="preserve">That combination gives KIM unusually visible embedded rent growth, but it also raises the bar: investors will want evidence that leases are opening, paying rent, and lifting economic occupancy rather than merely expanding the signed pipeline.</w:t>
      </w:r>
    </w:p>
    <w:bookmarkEnd w:id="10"/>
    <w:bookmarkStart w:id="11" w:name="key-operating-markers"/>
    <w:p>
      <w:pPr>
        <w:pStyle w:val="Heading2"/>
      </w:pPr>
      <w:r>
        <w:t xml:space="preserve">Key operating markers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result</w:t>
            </w:r>
          </w:p>
        </w:tc>
        <w:tc>
          <w:tcPr/>
          <w:p>
            <w:pPr>
              <w:pStyle w:val="Compact"/>
            </w:pPr>
            <w:r>
              <w:t xml:space="preserve">What investors should watch in 2Q</w:t>
            </w:r>
          </w:p>
        </w:tc>
      </w:tr>
      <w:tr>
        <w:tc>
          <w:tcPr/>
          <w:p>
            <w:pPr>
              <w:pStyle w:val="Compact"/>
            </w:pPr>
            <w:r>
              <w:t xml:space="preserve">FFO per diluted share</w:t>
            </w:r>
          </w:p>
        </w:tc>
        <w:tc>
          <w:tcPr/>
          <w:p>
            <w:pPr>
              <w:pStyle w:val="Compact"/>
              <w:jc w:val="right"/>
            </w:pPr>
            <w:r>
              <w:rPr>
                <w:b/>
                <w:bCs/>
              </w:rPr>
              <w:t xml:space="preserve">$0.46</w:t>
            </w:r>
          </w:p>
        </w:tc>
        <w:tc>
          <w:tcPr/>
          <w:p>
            <w:pPr>
              <w:pStyle w:val="Compact"/>
            </w:pPr>
            <w:r>
              <w:t xml:space="preserve">Recurring FFO trajectory and implications for the</w:t>
            </w:r>
            <w:r>
              <w:t xml:space="preserve"> </w:t>
            </w:r>
            <m:oMath>
              <m:r>
                <m:t>1.81</m:t>
              </m:r>
              <m:r>
                <m:rPr>
                  <m:sty m:val="p"/>
                </m:rPr>
                <m:t>–</m:t>
              </m:r>
            </m:oMath>
            <w:r>
              <w:t xml:space="preserve">1.84 FY26 guide</w:t>
            </w:r>
          </w:p>
        </w:tc>
      </w:tr>
      <w:tr>
        <w:tc>
          <w:tcPr/>
          <w:p>
            <w:pPr>
              <w:pStyle w:val="Compact"/>
            </w:pPr>
            <w:r>
              <w:t xml:space="preserve">Same-property NOI growth</w:t>
            </w:r>
          </w:p>
        </w:tc>
        <w:tc>
          <w:tcPr/>
          <w:p>
            <w:pPr>
              <w:pStyle w:val="Compact"/>
              <w:jc w:val="right"/>
            </w:pPr>
            <w:r>
              <w:rPr>
                <w:b/>
                <w:bCs/>
              </w:rPr>
              <w:t xml:space="preserve">+1.7%</w:t>
            </w:r>
          </w:p>
        </w:tc>
        <w:tc>
          <w:tcPr/>
          <w:p>
            <w:pPr>
              <w:pStyle w:val="Compact"/>
            </w:pPr>
            <w:r>
              <w:t xml:space="preserve">Evidence of sequential acceleration toward the 2.8%–3.5% full-year target</w:t>
            </w:r>
          </w:p>
        </w:tc>
      </w:tr>
      <w:tr>
        <w:tc>
          <w:tcPr/>
          <w:p>
            <w:pPr>
              <w:pStyle w:val="Compact"/>
            </w:pPr>
            <w:r>
              <w:t xml:space="preserve">Pro-rata leased occupancy</w:t>
            </w:r>
          </w:p>
        </w:tc>
        <w:tc>
          <w:tcPr/>
          <w:p>
            <w:pPr>
              <w:pStyle w:val="Compact"/>
              <w:jc w:val="right"/>
            </w:pPr>
            <w:r>
              <w:rPr>
                <w:b/>
                <w:bCs/>
              </w:rPr>
              <w:t xml:space="preserve">96.3%</w:t>
            </w:r>
          </w:p>
        </w:tc>
        <w:tc>
          <w:tcPr/>
          <w:p>
            <w:pPr>
              <w:pStyle w:val="Compact"/>
            </w:pPr>
            <w:r>
              <w:t xml:space="preserve">Whether occupancy resumes its upward trend after a modest 1Q decline</w:t>
            </w:r>
          </w:p>
        </w:tc>
      </w:tr>
      <w:tr>
        <w:tc>
          <w:tcPr/>
          <w:p>
            <w:pPr>
              <w:pStyle w:val="Compact"/>
            </w:pPr>
            <w:r>
              <w:t xml:space="preserve">Economic occupancy</w:t>
            </w:r>
          </w:p>
        </w:tc>
        <w:tc>
          <w:tcPr/>
          <w:p>
            <w:pPr>
              <w:pStyle w:val="Compact"/>
              <w:jc w:val="right"/>
            </w:pPr>
            <w:r>
              <w:rPr>
                <w:b/>
                <w:bCs/>
              </w:rPr>
              <w:t xml:space="preserve">92.2%</w:t>
            </w:r>
          </w:p>
        </w:tc>
        <w:tc>
          <w:tcPr/>
          <w:p>
            <w:pPr>
              <w:pStyle w:val="Compact"/>
            </w:pPr>
            <w:r>
              <w:t xml:space="preserve">The most important indicator of SNO conversion into cash rent</w:t>
            </w:r>
          </w:p>
        </w:tc>
      </w:tr>
      <w:tr>
        <w:tc>
          <w:tcPr/>
          <w:p>
            <w:pPr>
              <w:pStyle w:val="Compact"/>
            </w:pPr>
            <w:r>
              <w:t xml:space="preserve">Lease-to-economic occupancy spread</w:t>
            </w:r>
          </w:p>
        </w:tc>
        <w:tc>
          <w:tcPr/>
          <w:p>
            <w:pPr>
              <w:pStyle w:val="Compact"/>
              <w:jc w:val="right"/>
            </w:pPr>
            <w:r>
              <w:rPr>
                <w:b/>
                <w:bCs/>
              </w:rPr>
              <w:t xml:space="preserve">410 bp</w:t>
            </w:r>
          </w:p>
        </w:tc>
        <w:tc>
          <w:tcPr/>
          <w:p>
            <w:pPr>
              <w:pStyle w:val="Compact"/>
            </w:pPr>
            <w:r>
              <w:t xml:space="preserve">Whether the spread begins narrowing through rising economic occupancy—not simply through lower leasing</w:t>
            </w:r>
          </w:p>
        </w:tc>
      </w:tr>
      <w:tr>
        <w:tc>
          <w:tcPr/>
          <w:p>
            <w:pPr>
              <w:pStyle w:val="Compact"/>
            </w:pPr>
            <w:r>
              <w:t xml:space="preserve">SNO annual base rent</w:t>
            </w:r>
          </w:p>
        </w:tc>
        <w:tc>
          <w:tcPr/>
          <w:p>
            <w:pPr>
              <w:pStyle w:val="Compact"/>
              <w:jc w:val="right"/>
            </w:pPr>
            <w:r>
              <w:rPr>
                <w:b/>
                <w:bCs/>
              </w:rPr>
              <w:t xml:space="preserve">$77M</w:t>
            </w:r>
          </w:p>
        </w:tc>
        <w:tc>
          <w:tcPr/>
          <w:p>
            <w:pPr>
              <w:pStyle w:val="Compact"/>
            </w:pPr>
            <w:r>
              <w:t xml:space="preserve">Commencement timing, 2026 cash-rent contribution, and 2027 carryover</w:t>
            </w:r>
          </w:p>
        </w:tc>
      </w:tr>
      <w:tr>
        <w:tc>
          <w:tcPr/>
          <w:p>
            <w:pPr>
              <w:pStyle w:val="Compact"/>
            </w:pPr>
            <w:r>
              <w:t xml:space="preserve">Blended cash rent spreads</w:t>
            </w:r>
          </w:p>
        </w:tc>
        <w:tc>
          <w:tcPr/>
          <w:p>
            <w:pPr>
              <w:pStyle w:val="Compact"/>
              <w:jc w:val="right"/>
            </w:pPr>
            <w:r>
              <w:rPr>
                <w:b/>
                <w:bCs/>
              </w:rPr>
              <w:t xml:space="preserve">+11.3%</w:t>
            </w:r>
          </w:p>
        </w:tc>
        <w:tc>
          <w:tcPr/>
          <w:p>
            <w:pPr>
              <w:pStyle w:val="Compact"/>
            </w:pPr>
            <w:r>
              <w:t xml:space="preserve">Durability of pricing power; new-lease spreads were</w:t>
            </w:r>
            <w:r>
              <w:t xml:space="preserve"> </w:t>
            </w:r>
            <w:r>
              <w:rPr>
                <w:b/>
                <w:bCs/>
              </w:rPr>
              <w:t xml:space="preserve">+23.8%</w:t>
            </w:r>
            <w:r>
              <w:t xml:space="preserve"> </w:t>
            </w:r>
            <w:r>
              <w:t xml:space="preserve">in 1Q</w:t>
            </w:r>
          </w:p>
        </w:tc>
      </w:tr>
      <w:tr>
        <w:tc>
          <w:tcPr/>
          <w:p>
            <w:pPr>
              <w:pStyle w:val="Compact"/>
            </w:pPr>
            <w:r>
              <w:t xml:space="preserve">Credit loss</w:t>
            </w:r>
          </w:p>
        </w:tc>
        <w:tc>
          <w:tcPr/>
          <w:p>
            <w:pPr>
              <w:pStyle w:val="Compact"/>
              <w:jc w:val="right"/>
            </w:pPr>
            <w:r>
              <w:rPr>
                <w:b/>
                <w:bCs/>
              </w:rPr>
              <w:t xml:space="preserve">52 bp</w:t>
            </w:r>
          </w:p>
        </w:tc>
        <w:tc>
          <w:tcPr/>
          <w:p>
            <w:pPr>
              <w:pStyle w:val="Compact"/>
            </w:pPr>
            <w:r>
              <w:t xml:space="preserve">Whether benign tenant-credit performance persists; FY guide assumes 65–90 bp</w:t>
            </w:r>
          </w:p>
        </w:tc>
      </w:tr>
    </w:tbl>
    <w:bookmarkEnd w:id="11"/>
    <w:bookmarkStart w:id="12" w:name="X4888421b1cd74b480fe7a5c014b4b0a2f8f6615"/>
    <w:p>
      <w:pPr>
        <w:pStyle w:val="Heading2"/>
      </w:pPr>
      <w:r>
        <w:t xml:space="preserve">The core debate: conversion, not leasing demand</w:t>
      </w:r>
    </w:p>
    <w:p>
      <w:pPr>
        <w:pStyle w:val="FirstParagraph"/>
      </w:pPr>
      <w:r>
        <w:t xml:space="preserve">The bull case rests on a straightforward proposition: Kimco’s grocery-anchored, necessity-led centers are essentially full, supply remains limited, and tenants are accepting materially higher rents for scarce space. In 1Q, Kimco signed 4.4 million square feet of leases, while average new-lease rents reached a company record.</w:t>
      </w:r>
    </w:p>
    <w:p>
      <w:pPr>
        <w:pStyle w:val="BodyText"/>
      </w:pPr>
      <w:r>
        <w:t xml:space="preserve">However, a high SNO balance has two sides:</w:t>
      </w:r>
    </w:p>
    <w:p>
      <w:pPr>
        <w:pStyle w:val="Compact"/>
        <w:numPr>
          <w:ilvl w:val="0"/>
          <w:numId w:val="1002"/>
        </w:numPr>
      </w:pPr>
      <w:r>
        <w:rPr>
          <w:b/>
          <w:bCs/>
        </w:rPr>
        <w:t xml:space="preserve">It creates visible future growth.</w:t>
      </w:r>
      <w:r>
        <w:t xml:space="preserve"> </w:t>
      </w:r>
      <w:r>
        <w:t xml:space="preserve">Kimco expects approximately</w:t>
      </w:r>
      <w:r>
        <w:t xml:space="preserve"> </w:t>
      </w:r>
      <m:oMath>
        <m:r>
          <m:t>31</m:t>
        </m:r>
        <m:r>
          <m:t>m</m:t>
        </m:r>
        <m:r>
          <m:t>i</m:t>
        </m:r>
        <m:r>
          <m:t>l</m:t>
        </m:r>
        <m:r>
          <m:t>l</m:t>
        </m:r>
        <m:r>
          <m:t>i</m:t>
        </m:r>
        <m:r>
          <m:t>o</m:t>
        </m:r>
        <m:r>
          <m:t>n</m:t>
        </m:r>
        <m:r>
          <m:rPr>
            <m:sty m:val="p"/>
          </m:rPr>
          <m:t>*</m:t>
        </m:r>
        <m:r>
          <m:rPr>
            <m:sty m:val="p"/>
          </m:rPr>
          <m:t>*</m:t>
        </m:r>
        <m:r>
          <m:t>o</m:t>
        </m:r>
        <m:r>
          <m:t>f</m:t>
        </m:r>
        <m:r>
          <m:t>c</m:t>
        </m:r>
        <m:r>
          <m:t>a</m:t>
        </m:r>
        <m:r>
          <m:t>s</m:t>
        </m:r>
        <m:r>
          <m:t>h</m:t>
        </m:r>
        <m:r>
          <m:rPr>
            <m:sty m:val="p"/>
          </m:rPr>
          <m:t>−</m:t>
        </m:r>
        <m:r>
          <m:t>f</m:t>
        </m:r>
        <m:r>
          <m:t>l</m:t>
        </m:r>
        <m:r>
          <m:t>o</m:t>
        </m:r>
        <m:r>
          <m:t>w</m:t>
        </m:r>
        <m:r>
          <m:t>r</m:t>
        </m:r>
        <m:r>
          <m:t>e</m:t>
        </m:r>
        <m:r>
          <m:t>n</m:t>
        </m:r>
        <m:r>
          <m:t>t</m:t>
        </m:r>
        <m:r>
          <m:t>f</m:t>
        </m:r>
        <m:r>
          <m:t>r</m:t>
        </m:r>
        <m:r>
          <m:t>o</m:t>
        </m:r>
        <m:r>
          <m:t>m</m:t>
        </m:r>
        <m:r>
          <m:t>2026</m:t>
        </m:r>
        <m:r>
          <m:t>c</m:t>
        </m:r>
        <m:r>
          <m:t>o</m:t>
        </m:r>
        <m:r>
          <m:t>m</m:t>
        </m:r>
        <m:r>
          <m:t>m</m:t>
        </m:r>
        <m:r>
          <m:t>e</m:t>
        </m:r>
        <m:r>
          <m:t>n</m:t>
        </m:r>
        <m:r>
          <m:t>c</m:t>
        </m:r>
        <m:r>
          <m:t>e</m:t>
        </m:r>
        <m:r>
          <m:t>m</m:t>
        </m:r>
        <m:r>
          <m:t>e</m:t>
        </m:r>
        <m:r>
          <m:t>n</m:t>
        </m:r>
        <m:r>
          <m:t>t</m:t>
        </m:r>
        <m:r>
          <m:t>s</m:t>
        </m:r>
        <m:r>
          <m:rPr>
            <m:sty m:val="p"/>
          </m:rPr>
          <m:t>,</m:t>
        </m:r>
        <m:r>
          <m:t>a</m:t>
        </m:r>
        <m:r>
          <m:t>h</m:t>
        </m:r>
        <m:r>
          <m:t>e</m:t>
        </m:r>
        <m:r>
          <m:t>a</m:t>
        </m:r>
        <m:r>
          <m:t>d</m:t>
        </m:r>
        <m:r>
          <m:t>o</m:t>
        </m:r>
        <m:r>
          <m:t>f</m:t>
        </m:r>
        <m:r>
          <m:t>i</m:t>
        </m:r>
        <m:r>
          <m:t>t</m:t>
        </m:r>
        <m:r>
          <m:t>s</m:t>
        </m:r>
        <m:r>
          <m:t>o</m:t>
        </m:r>
        <m:r>
          <m:t>r</m:t>
        </m:r>
        <m:r>
          <m:t>i</m:t>
        </m:r>
        <m:r>
          <m:t>g</m:t>
        </m:r>
        <m:r>
          <m:t>i</m:t>
        </m:r>
        <m:r>
          <m:t>n</m:t>
        </m:r>
        <m:r>
          <m:t>a</m:t>
        </m:r>
        <m:r>
          <m:t>l</m:t>
        </m:r>
        <m:r>
          <m:rPr>
            <m:sty m:val="p"/>
          </m:rPr>
          <m:t>*</m:t>
        </m:r>
        <m:r>
          <m:rPr>
            <m:sty m:val="p"/>
          </m:rPr>
          <m:t>*</m:t>
        </m:r>
      </m:oMath>
      <w:r>
        <w:rPr>
          <w:b/>
          <w:bCs/>
        </w:rPr>
        <w:t xml:space="preserve">28.5 million</w:t>
      </w:r>
      <w:r>
        <w:t xml:space="preserve"> </w:t>
      </w:r>
      <w:r>
        <w:t xml:space="preserve">plan.</w:t>
      </w:r>
    </w:p>
    <w:p>
      <w:pPr>
        <w:pStyle w:val="Compact"/>
        <w:numPr>
          <w:ilvl w:val="0"/>
          <w:numId w:val="1002"/>
        </w:numPr>
      </w:pPr>
      <w:r>
        <w:rPr>
          <w:b/>
          <w:bCs/>
        </w:rPr>
        <w:t xml:space="preserve">It postpones income recognition.</w:t>
      </w:r>
      <w:r>
        <w:t xml:space="preserve"> </w:t>
      </w:r>
      <w:r>
        <w:t xml:space="preserve">Until tenants open and begin paying contractual rent, the earnings benefit is deferred.</w:t>
      </w:r>
    </w:p>
    <w:p>
      <w:pPr>
        <w:pStyle w:val="FirstParagraph"/>
      </w:pPr>
      <w:r>
        <w:t xml:space="preserve">Accordingly, the most constructive 2Q outcome would be:</w:t>
      </w:r>
    </w:p>
    <w:p>
      <w:pPr>
        <w:pStyle w:val="Compact"/>
        <w:numPr>
          <w:ilvl w:val="0"/>
          <w:numId w:val="1003"/>
        </w:numPr>
      </w:pPr>
      <w:r>
        <w:t xml:space="preserve">clear progress in economic occupancy;</w:t>
      </w:r>
    </w:p>
    <w:p>
      <w:pPr>
        <w:pStyle w:val="Compact"/>
        <w:numPr>
          <w:ilvl w:val="0"/>
          <w:numId w:val="1003"/>
        </w:numPr>
      </w:pPr>
      <w:r>
        <w:t xml:space="preserve">confirmation that the planned 2026 commencement schedule is intact or improving;</w:t>
      </w:r>
    </w:p>
    <w:p>
      <w:pPr>
        <w:pStyle w:val="Compact"/>
        <w:numPr>
          <w:ilvl w:val="0"/>
          <w:numId w:val="1003"/>
        </w:numPr>
      </w:pPr>
      <w:r>
        <w:t xml:space="preserve">continued strong leasing spreads and retention; and</w:t>
      </w:r>
    </w:p>
    <w:p>
      <w:pPr>
        <w:pStyle w:val="Compact"/>
        <w:numPr>
          <w:ilvl w:val="0"/>
          <w:numId w:val="1003"/>
        </w:numPr>
      </w:pPr>
      <w:r>
        <w:t xml:space="preserve">management confidence that same-property NOI accelerates meaningfully in the second half.</w:t>
      </w:r>
    </w:p>
    <w:p>
      <w:pPr>
        <w:pStyle w:val="FirstParagraph"/>
      </w:pPr>
      <w:r>
        <w:t xml:space="preserve">A quarter with solid leasing but limited economic-occupancy movement would not invalidate the thesis, but it would increase scrutiny of timing and reduce confidence in the second-half cadence.</w:t>
      </w:r>
    </w:p>
    <w:bookmarkEnd w:id="12"/>
    <w:bookmarkStart w:id="13" w:name="guidance-maintain-versus-raise"/>
    <w:p>
      <w:pPr>
        <w:pStyle w:val="Heading2"/>
      </w:pPr>
      <w:r>
        <w:t xml:space="preserve">Guidance: maintain versus raise</w:t>
      </w:r>
    </w:p>
    <w:p>
      <w:pPr>
        <w:pStyle w:val="FirstParagraph"/>
      </w:pPr>
      <w:r>
        <w:t xml:space="preserve">Kimco raised the bottom end of its full-year FFO outlook after 1Q, to</w:t>
      </w:r>
      <w:r>
        <w:t xml:space="preserve"> </w:t>
      </w:r>
      <m:oMath>
        <m:r>
          <m:t>1.81</m:t>
        </m:r>
        <m:r>
          <m:rPr>
            <m:sty m:val="p"/>
          </m:rPr>
          <m:t>–</m:t>
        </m:r>
      </m:oMath>
      <w:r>
        <w:rPr>
          <w:b/>
          <w:bCs/>
        </w:rPr>
        <w:t xml:space="preserve">1.84/share</w:t>
      </w:r>
      <w:r>
        <w:t xml:space="preserve"> </w:t>
      </w:r>
      <w:r>
        <w:t xml:space="preserve">from</w:t>
      </w:r>
      <w:r>
        <w:t xml:space="preserve"> </w:t>
      </w:r>
      <m:oMath>
        <m:r>
          <m:t>1.80</m:t>
        </m:r>
        <m:r>
          <m:rPr>
            <m:sty m:val="p"/>
          </m:rPr>
          <m:t>–</m:t>
        </m:r>
      </m:oMath>
      <w:r>
        <w:rPr>
          <w:b/>
          <w:bCs/>
        </w:rPr>
        <w:t xml:space="preserve">1.84</w:t>
      </w:r>
      <w:r>
        <w:t xml:space="preserve">. That change was modest, but it reflected better visibility into rent commencements and lower expected credit losses.</w:t>
      </w:r>
    </w:p>
    <w:p>
      <w:pPr>
        <w:pStyle w:val="BodyText"/>
      </w:pPr>
      <w:r>
        <w:t xml:space="preserve">For 2Q, the likely hierarchy of outcomes is:</w:t>
      </w:r>
    </w:p>
    <w:p>
      <w:pPr>
        <w:pStyle w:val="Compact"/>
        <w:numPr>
          <w:ilvl w:val="0"/>
          <w:numId w:val="1004"/>
        </w:numPr>
      </w:pPr>
      <w:r>
        <w:rPr>
          <w:b/>
          <w:bCs/>
        </w:rPr>
        <w:t xml:space="preserve">Best case:</w:t>
      </w:r>
      <w:r>
        <w:t xml:space="preserve"> </w:t>
      </w:r>
      <w:r>
        <w:t xml:space="preserve">Guidance rises again, supported by faster SNO conversion, better credit, and/or accretive capital activity.</w:t>
      </w:r>
    </w:p>
    <w:p>
      <w:pPr>
        <w:pStyle w:val="Compact"/>
        <w:numPr>
          <w:ilvl w:val="0"/>
          <w:numId w:val="1004"/>
        </w:numPr>
      </w:pPr>
      <w:r>
        <w:rPr>
          <w:b/>
          <w:bCs/>
        </w:rPr>
        <w:t xml:space="preserve">Constructive base case:</w:t>
      </w:r>
      <w:r>
        <w:t xml:space="preserve"> </w:t>
      </w:r>
      <w:r>
        <w:t xml:space="preserve">Guidance is reiterated, while management provides greater confidence in 2H same-property NOI acceleration and commencement timing.</w:t>
      </w:r>
    </w:p>
    <w:p>
      <w:pPr>
        <w:pStyle w:val="Compact"/>
        <w:numPr>
          <w:ilvl w:val="0"/>
          <w:numId w:val="1004"/>
        </w:numPr>
      </w:pPr>
      <w:r>
        <w:rPr>
          <w:b/>
          <w:bCs/>
        </w:rPr>
        <w:t xml:space="preserve">Disappointing case:</w:t>
      </w:r>
      <w:r>
        <w:t xml:space="preserve"> </w:t>
      </w:r>
      <w:r>
        <w:t xml:space="preserve">Guidance is maintained but commentary points to delayed openings, weaker tenant-credit trends, higher costs, or a slower economic-occupancy ramp.</w:t>
      </w:r>
    </w:p>
    <w:p>
      <w:pPr>
        <w:pStyle w:val="FirstParagraph"/>
      </w:pPr>
      <w:r>
        <w:t xml:space="preserve">Investors should avoid overemphasizing a purely mechanical quarterly FFO comparison. Management noted that 1Q benefited from roughly</w:t>
      </w:r>
      <w:r>
        <w:t xml:space="preserve"> </w:t>
      </w:r>
      <w:r>
        <w:rPr>
          <w:b/>
          <w:bCs/>
        </w:rPr>
        <w:t xml:space="preserve">$7 million</w:t>
      </w:r>
      <w:r>
        <w:t xml:space="preserve"> </w:t>
      </w:r>
      <w:r>
        <w:t xml:space="preserve">of accelerated non-cash revenue related to early recaptures of below-market leases, as well as seasonally stronger percentage-rent income. Those items were not expected to repeat at the same level in subsequent quarters.</w:t>
      </w:r>
    </w:p>
    <w:bookmarkEnd w:id="13"/>
    <w:bookmarkStart w:id="14" w:name="leasing-and-tenant-health"/>
    <w:p>
      <w:pPr>
        <w:pStyle w:val="Heading2"/>
      </w:pPr>
      <w:r>
        <w:t xml:space="preserve">Leasing and tenant health</w:t>
      </w:r>
    </w:p>
    <w:p>
      <w:pPr>
        <w:pStyle w:val="FirstParagraph"/>
      </w:pPr>
      <w:r>
        <w:t xml:space="preserve">The portfolio’s operating data remain the principal support for the growth thesis:</w:t>
      </w:r>
    </w:p>
    <w:p>
      <w:pPr>
        <w:pStyle w:val="Compact"/>
        <w:numPr>
          <w:ilvl w:val="0"/>
          <w:numId w:val="1005"/>
        </w:numPr>
      </w:pPr>
      <w:r>
        <w:t xml:space="preserve">Pro-rata anchor occupancy was</w:t>
      </w:r>
      <w:r>
        <w:t xml:space="preserve"> </w:t>
      </w:r>
      <w:r>
        <w:rPr>
          <w:b/>
          <w:bCs/>
        </w:rPr>
        <w:t xml:space="preserve">97.9%</w:t>
      </w:r>
      <w:r>
        <w:t xml:space="preserve"> </w:t>
      </w:r>
      <w:r>
        <w:t xml:space="preserve">in 1Q.</w:t>
      </w:r>
    </w:p>
    <w:p>
      <w:pPr>
        <w:pStyle w:val="Compact"/>
        <w:numPr>
          <w:ilvl w:val="0"/>
          <w:numId w:val="1005"/>
        </w:numPr>
      </w:pPr>
      <w:r>
        <w:t xml:space="preserve">Small-shop occupancy was</w:t>
      </w:r>
      <w:r>
        <w:t xml:space="preserve"> </w:t>
      </w:r>
      <w:r>
        <w:rPr>
          <w:b/>
          <w:bCs/>
        </w:rPr>
        <w:t xml:space="preserve">92.5%</w:t>
      </w:r>
      <w:r>
        <w:t xml:space="preserve">, up 80 bp year over year.</w:t>
      </w:r>
    </w:p>
    <w:p>
      <w:pPr>
        <w:pStyle w:val="Compact"/>
        <w:numPr>
          <w:ilvl w:val="0"/>
          <w:numId w:val="1005"/>
        </w:numPr>
      </w:pPr>
      <w:r>
        <w:t xml:space="preserve">Excluding bankruptcy-related activity, retention was described as exceptionally high.</w:t>
      </w:r>
    </w:p>
    <w:p>
      <w:pPr>
        <w:pStyle w:val="Compact"/>
        <w:numPr>
          <w:ilvl w:val="0"/>
          <w:numId w:val="1005"/>
        </w:numPr>
      </w:pPr>
      <w:r>
        <w:t xml:space="preserve">Management cited broad demand across grocery, off-price, fitness, general merchandise, and service-oriented tenants.</w:t>
      </w:r>
    </w:p>
    <w:p>
      <w:pPr>
        <w:pStyle w:val="FirstParagraph"/>
      </w:pPr>
      <w:r>
        <w:t xml:space="preserve">The key downside risk is that a consumer slowdown or a renewed retail-bankruptcy cycle raises credit losses and creates vacancies. Kimco’s 1Q credit loss of 52 bp was better than its updated 65–90 bp full-year assumption, and management said it did not see meaningful broad-based deterioration. A continuation of that benign credit backdrop would be an important positive for the report.</w:t>
      </w:r>
    </w:p>
    <w:bookmarkEnd w:id="14"/>
    <w:bookmarkStart w:id="15" w:name="capital-allocation-and-balance-sheet"/>
    <w:p>
      <w:pPr>
        <w:pStyle w:val="Heading2"/>
      </w:pPr>
      <w:r>
        <w:t xml:space="preserve">Capital allocation and balance sheet</w:t>
      </w:r>
    </w:p>
    <w:p>
      <w:pPr>
        <w:pStyle w:val="FirstParagraph"/>
      </w:pPr>
      <w:r>
        <w:t xml:space="preserve">Kimco’s capital-allocation story could be nearly as important as same-store operating results.</w:t>
      </w:r>
    </w:p>
    <w:p>
      <w:pPr>
        <w:pStyle w:val="BodyText"/>
      </w:pPr>
      <w:r>
        <w:t xml:space="preserve">At quarter-end, the company reported:</w:t>
      </w:r>
    </w:p>
    <w:p>
      <w:pPr>
        <w:pStyle w:val="Compact"/>
        <w:numPr>
          <w:ilvl w:val="0"/>
          <w:numId w:val="1006"/>
        </w:numPr>
      </w:pPr>
      <w:r>
        <w:t xml:space="preserve">approximately</w:t>
      </w:r>
      <w:r>
        <w:t xml:space="preserve"> </w:t>
      </w:r>
      <w:r>
        <w:rPr>
          <w:b/>
          <w:bCs/>
        </w:rPr>
        <w:t xml:space="preserve">$2.2 billion</w:t>
      </w:r>
      <w:r>
        <w:t xml:space="preserve"> </w:t>
      </w:r>
      <w:r>
        <w:t xml:space="preserve">of liquidity;</w:t>
      </w:r>
    </w:p>
    <w:p>
      <w:pPr>
        <w:pStyle w:val="Compact"/>
        <w:numPr>
          <w:ilvl w:val="0"/>
          <w:numId w:val="1006"/>
        </w:numPr>
      </w:pPr>
      <w:r>
        <w:t xml:space="preserve">consolidated net debt/EBITDA of</w:t>
      </w:r>
      <w:r>
        <w:t xml:space="preserve"> </w:t>
      </w:r>
      <w:r>
        <w:rPr>
          <w:b/>
          <w:bCs/>
        </w:rPr>
        <w:t xml:space="preserve">5.2x</w:t>
      </w:r>
      <w:r>
        <w:t xml:space="preserve">; and</w:t>
      </w:r>
    </w:p>
    <w:p>
      <w:pPr>
        <w:pStyle w:val="Compact"/>
        <w:numPr>
          <w:ilvl w:val="0"/>
          <w:numId w:val="1006"/>
        </w:numPr>
      </w:pPr>
      <w:r>
        <w:t xml:space="preserve">look-through leverage, including pro-rata JV debt and preferred stock, of</w:t>
      </w:r>
      <w:r>
        <w:t xml:space="preserve"> </w:t>
      </w:r>
      <w:r>
        <w:rPr>
          <w:b/>
          <w:bCs/>
        </w:rPr>
        <w:t xml:space="preserve">5.5x</w:t>
      </w:r>
      <w:r>
        <w:t xml:space="preserve">.</w:t>
      </w:r>
    </w:p>
    <w:p>
      <w:pPr>
        <w:pStyle w:val="FirstParagraph"/>
      </w:pPr>
      <w:r>
        <w:t xml:space="preserve">In June, Kimco issued</w:t>
      </w:r>
      <w:r>
        <w:t xml:space="preserve"> </w:t>
      </w:r>
      <m:oMath>
        <m:r>
          <m:t>600</m:t>
        </m:r>
        <m:r>
          <m:t>m</m:t>
        </m:r>
        <m:r>
          <m:t>i</m:t>
        </m:r>
        <m:r>
          <m:t>l</m:t>
        </m:r>
        <m:r>
          <m:t>l</m:t>
        </m:r>
        <m:r>
          <m:t>i</m:t>
        </m:r>
        <m:r>
          <m:t>o</m:t>
        </m:r>
        <m:r>
          <m:t>n</m:t>
        </m:r>
        <m:r>
          <m:rPr>
            <m:sty m:val="p"/>
          </m:rPr>
          <m:t>*</m:t>
        </m:r>
        <m:r>
          <m:rPr>
            <m:sty m:val="p"/>
          </m:rPr>
          <m:t>*</m:t>
        </m:r>
        <m:r>
          <m:t>o</m:t>
        </m:r>
        <m:r>
          <m:t>f</m:t>
        </m:r>
        <m:r>
          <m:t>3.50</m:t>
        </m:r>
      </m:oMath>
      <w:r>
        <w:rPr>
          <w:b/>
          <w:bCs/>
        </w:rPr>
        <w:t xml:space="preserve">32.36/share</w:t>
      </w:r>
      <w:r>
        <w:t xml:space="preserve"> </w:t>
      </w:r>
      <w:r>
        <w:t xml:space="preserve">was well above the August 3 stock close of $25.42. The financing extends Kimco’s capital flexibility, but the call should clarify the use of proceeds, refinancing benefits, and any expected effect on interest expense or future dilution.</w:t>
      </w:r>
    </w:p>
    <w:p>
      <w:pPr>
        <w:pStyle w:val="BodyText"/>
      </w:pPr>
      <w:r>
        <w:t xml:space="preserve">Management’s broader capital plan includes recycling lower-growth assets and selectively reinvesting in acquisitions and structured investments. Its full-year assumptions contemplate</w:t>
      </w:r>
      <w:r>
        <w:t xml:space="preserve"> </w:t>
      </w:r>
      <m:oMath>
        <m:r>
          <m:t>300</m:t>
        </m:r>
        <m:r>
          <m:rPr>
            <m:sty m:val="p"/>
          </m:rPr>
          <m:t>–</m:t>
        </m:r>
      </m:oMath>
      <w:r>
        <w:rPr>
          <w:b/>
          <w:bCs/>
        </w:rPr>
        <w:t xml:space="preserve">500 million</w:t>
      </w:r>
      <w:r>
        <w:t xml:space="preserve"> </w:t>
      </w:r>
      <w:r>
        <w:t xml:space="preserve">of transaction volume, with acquisitions targeted at 6%–7% cap rates and dispositions at 5%–6% cap rates. Investors should listen for tangible updates on asset sales, structured-investment commitments, and whether acquisition opportunities remain sufficiently accretive after financing costs.</w:t>
      </w:r>
    </w:p>
    <w:bookmarkEnd w:id="15"/>
    <w:bookmarkStart w:id="16" w:name="stock-setup"/>
    <w:p>
      <w:pPr>
        <w:pStyle w:val="Heading2"/>
      </w:pPr>
      <w:r>
        <w:t xml:space="preserve">Stock setup</w:t>
      </w:r>
    </w:p>
    <w:p>
      <w:pPr>
        <w:pStyle w:val="FirstParagraph"/>
      </w:pPr>
      <w:r>
        <w:t xml:space="preserve">KIM closed at</w:t>
      </w:r>
      <w:r>
        <w:t xml:space="preserve"> </w:t>
      </w:r>
      <w:r>
        <w:rPr>
          <w:b/>
          <w:bCs/>
        </w:rPr>
        <w:t xml:space="preserve">$25.42 on August 3</w:t>
      </w:r>
      <w:r>
        <w:t xml:space="preserve">, up roughly</w:t>
      </w:r>
      <w:r>
        <w:t xml:space="preserve"> </w:t>
      </w:r>
      <w:r>
        <w:rPr>
          <w:b/>
          <w:bCs/>
        </w:rPr>
        <w:t xml:space="preserve">25% year to date</w:t>
      </w:r>
      <w:r>
        <w:t xml:space="preserve">. That performance modestly exceeds the gains of Simon Property Group and Federal Realty over the same period and materially exceeds Regency Centers, although those are not perfect comparables given their different asset mixes and strategies.</w:t>
      </w:r>
    </w:p>
    <w:p>
      <w:pPr>
        <w:pStyle w:val="BodyText"/>
      </w:pPr>
      <w:r>
        <w:t xml:space="preserve">The shares are also about</w:t>
      </w:r>
      <w:r>
        <w:t xml:space="preserve"> </w:t>
      </w:r>
      <w:r>
        <w:rPr>
          <w:b/>
          <w:bCs/>
        </w:rPr>
        <w:t xml:space="preserve">3.6% below</w:t>
      </w:r>
      <w:r>
        <w:t xml:space="preserve"> </w:t>
      </w:r>
      <w:r>
        <w:t xml:space="preserve">their July 27 closing high of $26.38. The implication is that expectations have improved: a simple in-line quarter may be adequate if it confirms the second-half growth ramp, but a stronger reaction likely requires either an outlook increase or unusually persuasive evidence of accelerating economic occupancy and rent commencements.</w:t>
      </w:r>
    </w:p>
    <w:bookmarkEnd w:id="16"/>
    <w:bookmarkStart w:id="17" w:name="questions-for-management"/>
    <w:p>
      <w:pPr>
        <w:pStyle w:val="Heading2"/>
      </w:pPr>
      <w:r>
        <w:t xml:space="preserve">Questions for management</w:t>
      </w:r>
    </w:p>
    <w:p>
      <w:pPr>
        <w:pStyle w:val="Compact"/>
        <w:numPr>
          <w:ilvl w:val="0"/>
          <w:numId w:val="1007"/>
        </w:numPr>
      </w:pPr>
      <w:r>
        <w:rPr>
          <w:b/>
          <w:bCs/>
        </w:rPr>
        <w:t xml:space="preserve">How much of the $77 million SNO pipeline commenced during 2Q, and how much is still expected to commence in 2026?</w:t>
      </w:r>
    </w:p>
    <w:p>
      <w:pPr>
        <w:pStyle w:val="Compact"/>
        <w:numPr>
          <w:ilvl w:val="0"/>
          <w:numId w:val="1007"/>
        </w:numPr>
      </w:pPr>
      <w:r>
        <w:rPr>
          <w:b/>
          <w:bCs/>
        </w:rPr>
        <w:t xml:space="preserve">What was economic occupancy at quarter-end, and did the leased-to-economic spread narrow for the right reason—higher cash-paying occupancy?</w:t>
      </w:r>
    </w:p>
    <w:p>
      <w:pPr>
        <w:pStyle w:val="Compact"/>
        <w:numPr>
          <w:ilvl w:val="0"/>
          <w:numId w:val="1007"/>
        </w:numPr>
      </w:pPr>
      <w:r>
        <w:rPr>
          <w:b/>
          <w:bCs/>
        </w:rPr>
        <w:t xml:space="preserve">Is the 2.8%–3.5% full-year same-property NOI target still intact, and what is the expected quarterly cadence from here?</w:t>
      </w:r>
    </w:p>
    <w:p>
      <w:pPr>
        <w:pStyle w:val="Compact"/>
        <w:numPr>
          <w:ilvl w:val="0"/>
          <w:numId w:val="1007"/>
        </w:numPr>
      </w:pPr>
      <w:r>
        <w:rPr>
          <w:b/>
          <w:bCs/>
        </w:rPr>
        <w:t xml:space="preserve">Did lease spreads, retention, and tenant demand remain as strong as in 1Q?</w:t>
      </w:r>
    </w:p>
    <w:p>
      <w:pPr>
        <w:pStyle w:val="Compact"/>
        <w:numPr>
          <w:ilvl w:val="0"/>
          <w:numId w:val="1007"/>
        </w:numPr>
      </w:pPr>
      <w:r>
        <w:rPr>
          <w:b/>
          <w:bCs/>
        </w:rPr>
        <w:t xml:space="preserve">What is the current credit-loss outlook, including exposure to any challenged tenants?</w:t>
      </w:r>
    </w:p>
    <w:p>
      <w:pPr>
        <w:pStyle w:val="Compact"/>
        <w:numPr>
          <w:ilvl w:val="0"/>
          <w:numId w:val="1007"/>
        </w:numPr>
      </w:pPr>
      <w:r>
        <w:rPr>
          <w:b/>
          <w:bCs/>
        </w:rPr>
        <w:t xml:space="preserve">How will the June exchangeable-note issuance affect refinancing plans, interest expense, and capital-allocation capacity?</w:t>
      </w:r>
    </w:p>
    <w:p>
      <w:pPr>
        <w:pStyle w:val="Compact"/>
        <w:numPr>
          <w:ilvl w:val="0"/>
          <w:numId w:val="1007"/>
        </w:numPr>
      </w:pPr>
      <w:r>
        <w:rPr>
          <w:b/>
          <w:bCs/>
        </w:rPr>
        <w:t xml:space="preserve">Are dispositions, acquisitions, and structured investments progressing toward the stated</w:t>
      </w:r>
      <w:r>
        <w:rPr>
          <w:b/>
          <w:bCs/>
        </w:rPr>
        <w:t xml:space="preserve"> </w:t>
      </w:r>
      <m:oMath>
        <m:r>
          <m:t>300</m:t>
        </m:r>
        <m:r>
          <m:rPr>
            <m:sty m:val="p"/>
          </m:rPr>
          <m:t>–</m:t>
        </m:r>
      </m:oMath>
      <w:r>
        <w:rPr>
          <w:b/>
          <w:bCs/>
        </w:rPr>
        <w:t xml:space="preserve">500 million transaction target?</w:t>
      </w:r>
    </w:p>
    <w:bookmarkEnd w:id="17"/>
    <w:bookmarkStart w:id="18" w:name="investment-takeaway"/>
    <w:p>
      <w:pPr>
        <w:pStyle w:val="Heading2"/>
      </w:pPr>
      <w:r>
        <w:t xml:space="preserve">Investment takeaway</w:t>
      </w:r>
    </w:p>
    <w:p>
      <w:pPr>
        <w:pStyle w:val="FirstParagraph"/>
      </w:pPr>
      <w:r>
        <w:t xml:space="preserve">Kimco’s 2Q setup is favorable, but the report needs to demonstrate</w:t>
      </w:r>
      <w:r>
        <w:t xml:space="preserve"> </w:t>
      </w:r>
      <w:r>
        <w:rPr>
          <w:b/>
          <w:bCs/>
        </w:rPr>
        <w:t xml:space="preserve">execution against an already well-articulated organic-growth plan</w:t>
      </w:r>
      <w:r>
        <w:t xml:space="preserve">. The most important proof points are SNO conversion and economic-occupancy growth, with continued low credit losses serving as the swing factor for same-property NOI and FFO upside.</w:t>
      </w:r>
    </w:p>
    <w:p>
      <w:pPr>
        <w:pStyle w:val="BodyText"/>
      </w:pPr>
      <w:r>
        <w:rPr>
          <w:b/>
          <w:bCs/>
        </w:rPr>
        <w:t xml:space="preserve">Constructive read-through:</w:t>
      </w:r>
      <w:r>
        <w:t xml:space="preserve"> </w:t>
      </w:r>
      <w:r>
        <w:t xml:space="preserve">accelerating economic occupancy, stable credit, maintained-to-higher SNO commencement expectations, and guidance confidence.</w:t>
      </w:r>
      <w:r>
        <w:br/>
      </w:r>
      <w:r>
        <w:rPr>
          <w:b/>
          <w:bCs/>
        </w:rPr>
        <w:t xml:space="preserve">Risk read-through:</w:t>
      </w:r>
      <w:r>
        <w:t xml:space="preserve"> </w:t>
      </w:r>
      <w:r>
        <w:t xml:space="preserve">lease openings slip, the economic-occupancy gap remains stubbornly wide, tenant credit worsens, or management becomes less confident in the second-half NOI ramp.</w:t>
      </w:r>
    </w:p>
    <w:p>
      <w:pPr>
        <w:pStyle w:val="BodyText"/>
      </w:pPr>
      <w:r>
        <w:rPr>
          <w:i/>
          <w:iCs/>
        </w:rPr>
        <w:t xml:space="preserve">Sources consulted: Kimco’s 1Q26 earnings release and earnings-call transcript dated April 30, 2026; Kimco’s June 15, 2026 8-K covering the exchangeable-note issuance; and market-price data through August 3, 2026.</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2026-08-04T00:30:36Z</dcterms:created>
  <dcterms:modified xsi:type="dcterms:W3CDTF">2026-08-04T00:30:36Z</dcterms:modified>
</cp:coreProperties>
</file>

<file path=docProps/custom.xml><?xml version="1.0" encoding="utf-8"?>
<Properties xmlns="http://schemas.openxmlformats.org/officeDocument/2006/custom-properties" xmlns:vt="http://schemas.openxmlformats.org/officeDocument/2006/docPropsVTypes"/>
</file>