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Kimco Realty Corporation (KIM) — Q2 2026 Earnings Preview</w:t>
      </w:r>
    </w:p>
    <w:p>
      <w:r>
        <w:rPr>
          <w:rFonts w:ascii="Calibri" w:hAnsi="Calibri"/>
          <w:b/>
          <w:color w:val="525866"/>
          <w:sz w:val="22"/>
        </w:rPr>
        <w:t xml:space="preserve">Ticker: </w:t>
      </w:r>
      <w:r>
        <w:rPr>
          <w:rFonts w:ascii="Calibri" w:hAnsi="Calibri"/>
          <w:color w:val="525866"/>
          <w:sz w:val="22"/>
        </w:rPr>
        <w:t xml:space="preserve">KIM  </w:t>
      </w:r>
      <w:r>
        <w:rPr>
          <w:rFonts w:ascii="Calibri" w:hAnsi="Calibri"/>
          <w:b/>
          <w:color w:val="525866"/>
          <w:sz w:val="22"/>
        </w:rPr>
        <w:t xml:space="preserve">Earnings Date: </w:t>
      </w:r>
      <w:r>
        <w:rPr>
          <w:rFonts w:ascii="Calibri" w:hAnsi="Calibri"/>
          <w:color w:val="525866"/>
          <w:sz w:val="22"/>
        </w:rPr>
        <w:t xml:space="preserve">August 4, 2026 (Before Market Open, 8:30 AM ET)  </w:t>
      </w:r>
      <w:r>
        <w:rPr>
          <w:rFonts w:ascii="Calibri" w:hAnsi="Calibri"/>
          <w:b/>
          <w:color w:val="525866"/>
          <w:sz w:val="22"/>
        </w:rPr>
        <w:t xml:space="preserve">Prepared: </w:t>
      </w:r>
      <w:r>
        <w:rPr>
          <w:rFonts w:ascii="Calibri" w:hAnsi="Calibri"/>
          <w:color w:val="525866"/>
          <w:sz w:val="22"/>
        </w:rPr>
        <w:t>August 3,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b/>
          <w:color w:val="525866"/>
          <w:sz w:val="22"/>
        </w:rPr>
        <w:t>The setup into Q2 2026 is constructive — consensus is a manageable bar and the SNO pipeline conversion is the single biggest swing factor, with over $18M of commencements projected from Q2–Q4 alone.</w:t>
      </w:r>
    </w:p>
    <w:p>
      <w:r>
        <w:rPr>
          <w:rFonts w:ascii="Calibri" w:hAnsi="Calibri"/>
          <w:color w:val="525866"/>
          <w:sz w:val="22"/>
        </w:rPr>
        <w:t xml:space="preserve">Heading into Q2 2026, Kimco's bar looks achievable: consensus Core FFO sits at ~$0.454/share, a modest step up from Q1's $0.458 actual beat, and management explicitly guided for sequential same-site NOI acceleration as the record $77M SNO pipeline converts to cash flow — with Q1 flagged as the year's low point. </w:t>
      </w:r>
      <w:r>
        <w:rPr>
          <w:rFonts w:ascii="Calibri" w:hAnsi="Calibri"/>
          <w:color w:val="525866"/>
          <w:sz w:val="22"/>
        </w:rPr>
        <w:t xml:space="preserve">Guidance tone has been constructive since the April 30 print: full-year FFO was tightened upward ($1.81–$1.84), same-site NOI raised at the low end (2.8%–3.5%), and credit loss assumptions tightened favorably (65–90 bps), signaling management confidence rather than caution. </w:t>
      </w:r>
      <w:r>
        <w:rPr>
          <w:rFonts w:ascii="Calibri" w:hAnsi="Calibri"/>
          <w:color w:val="525866"/>
          <w:sz w:val="22"/>
        </w:rPr>
        <w:t xml:space="preserve">Estimate revisions have been essentially flat since the Q1 print (Q2 consensus moved only ~$0.0003 lower), suggesting the street is largely in line with guidance rather than running ahead of it — a neutral-to-positive setup. </w:t>
      </w:r>
      <w:r>
        <w:rPr>
          <w:rFonts w:ascii="Calibri" w:hAnsi="Calibri"/>
          <w:color w:val="525866"/>
          <w:sz w:val="22"/>
        </w:rPr>
        <w:t xml:space="preserve">The stock has outperformed since Q1 earnings (+7.5% vs. XLRE +1.8% and SPY +5.4%), but still trades at a meaningful discount to private market NAV, limiting downside risk even if results are in-line. </w:t>
      </w:r>
      <w:r>
        <w:rPr>
          <w:rFonts w:ascii="Calibri" w:hAnsi="Calibri"/>
          <w:color w:val="525866"/>
          <w:sz w:val="22"/>
        </w:rPr>
        <w:t xml:space="preserve">The key wildcard is </w:t>
      </w:r>
      <w:r>
        <w:rPr>
          <w:rFonts w:ascii="Calibri" w:hAnsi="Calibri"/>
          <w:b/>
          <w:color w:val="525866"/>
          <w:sz w:val="22"/>
        </w:rPr>
        <w:t>credit loss</w:t>
      </w:r>
      <w:r>
        <w:rPr>
          <w:rFonts w:ascii="Calibri" w:hAnsi="Calibri"/>
          <w:color w:val="525866"/>
          <w:sz w:val="22"/>
        </w:rPr>
        <w:t>: Q1 came in at just 52 bps (well below the 65–90 bps full-year guide), and any further favorable surprise — or conversely, any unexpected bankruptcy activity — could move the print materially in either direction.</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b/>
          <w:color w:val="525866"/>
          <w:sz w:val="22"/>
        </w:rPr>
        <w:t xml:space="preserve">Consensus is a manageable bar on Core FFO; </w:t>
      </w:r>
      <w:r>
        <w:rPr>
          <w:rFonts w:ascii="Calibri" w:hAnsi="Calibri"/>
          <w:color w:val="525866"/>
          <w:sz w:val="22"/>
        </w:rPr>
        <w:t>same-site NOI growth is the bigger swing factor, with Q2 expected to accelerate sequentially from Q1's 1.7% trough as the SNO pipeline commences.</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Core FFO per Share — Diluted ($)</w:t>
            </w:r>
          </w:p>
        </w:tc>
        <w:tc>
          <w:tcPr>
            <w:tcW w:type="dxa" w:w="1234"/>
          </w:tcPr>
          <w:p>
            <w:r>
              <w:rPr>
                <w:rFonts w:ascii="Calibri" w:hAnsi="Calibri"/>
                <w:sz w:val="22"/>
              </w:rPr>
              <w:t>$0.458</w:t>
            </w:r>
          </w:p>
        </w:tc>
        <w:tc>
          <w:tcPr>
            <w:tcW w:type="dxa" w:w="1234"/>
          </w:tcPr>
          <w:p>
            <w:r>
              <w:rPr>
                <w:rFonts w:ascii="Calibri" w:hAnsi="Calibri"/>
                <w:sz w:val="22"/>
              </w:rPr>
              <w:t>$0.407</w:t>
            </w:r>
          </w:p>
        </w:tc>
        <w:tc>
          <w:tcPr>
            <w:tcW w:type="dxa" w:w="1234"/>
          </w:tcPr>
          <w:p>
            <w:r>
              <w:rPr>
                <w:rFonts w:ascii="Calibri" w:hAnsi="Calibri"/>
                <w:sz w:val="22"/>
              </w:rPr>
              <w:t>$0.454</w:t>
            </w:r>
          </w:p>
        </w:tc>
        <w:tc>
          <w:tcPr>
            <w:tcW w:type="dxa" w:w="1234"/>
          </w:tcPr>
          <w:p>
            <w:r>
              <w:rPr>
                <w:rFonts w:ascii="Calibri" w:hAnsi="Calibri"/>
                <w:sz w:val="22"/>
              </w:rPr>
              <w:t>+11.7%</w:t>
            </w:r>
          </w:p>
        </w:tc>
        <w:tc>
          <w:tcPr>
            <w:tcW w:type="dxa" w:w="1234"/>
          </w:tcPr>
          <w:p>
            <w:r>
              <w:rPr>
                <w:rFonts w:ascii="Calibri" w:hAnsi="Calibri"/>
                <w:sz w:val="22"/>
              </w:rPr>
              <w:t>$1.81–$1.84 ($1.825 mid)</w:t>
            </w:r>
          </w:p>
        </w:tc>
        <w:tc>
          <w:tcPr>
            <w:tcW w:type="dxa" w:w="1234"/>
          </w:tcPr>
          <w:p>
            <w:r>
              <w:rPr>
                <w:rFonts w:ascii="Calibri" w:hAnsi="Calibri"/>
                <w:sz w:val="22"/>
              </w:rPr>
              <w:t>N/A (quarterly vs. FY)</w:t>
            </w:r>
          </w:p>
        </w:tc>
      </w:tr>
      <w:tr>
        <w:tc>
          <w:tcPr>
            <w:tcW w:type="dxa" w:w="1234"/>
          </w:tcPr>
          <w:p>
            <w:r>
              <w:rPr>
                <w:rFonts w:ascii="Calibri" w:hAnsi="Calibri"/>
                <w:sz w:val="22"/>
              </w:rPr>
              <w:t>FFO per Share — Diluted ($)</w:t>
            </w:r>
          </w:p>
        </w:tc>
        <w:tc>
          <w:tcPr>
            <w:tcW w:type="dxa" w:w="1234"/>
          </w:tcPr>
          <w:p>
            <w:r>
              <w:rPr>
                <w:rFonts w:ascii="Calibri" w:hAnsi="Calibri"/>
                <w:sz w:val="22"/>
              </w:rPr>
              <w:t>$0.460</w:t>
            </w:r>
          </w:p>
        </w:tc>
        <w:tc>
          <w:tcPr>
            <w:tcW w:type="dxa" w:w="1234"/>
          </w:tcPr>
          <w:p>
            <w:r>
              <w:rPr>
                <w:rFonts w:ascii="Calibri" w:hAnsi="Calibri"/>
                <w:sz w:val="22"/>
              </w:rPr>
              <w:t>$0.440</w:t>
            </w:r>
          </w:p>
        </w:tc>
        <w:tc>
          <w:tcPr>
            <w:tcW w:type="dxa" w:w="1234"/>
          </w:tcPr>
          <w:p>
            <w:r>
              <w:rPr>
                <w:rFonts w:ascii="Calibri" w:hAnsi="Calibri"/>
                <w:sz w:val="22"/>
              </w:rPr>
              <w:t>$0.454</w:t>
            </w:r>
          </w:p>
        </w:tc>
        <w:tc>
          <w:tcPr>
            <w:tcW w:type="dxa" w:w="1234"/>
          </w:tcPr>
          <w:p>
            <w:r>
              <w:rPr>
                <w:rFonts w:ascii="Calibri" w:hAnsi="Calibri"/>
                <w:sz w:val="22"/>
              </w:rPr>
              <w:t>+3.2%</w:t>
            </w:r>
          </w:p>
        </w:tc>
        <w:tc>
          <w:tcPr>
            <w:tcW w:type="dxa" w:w="1234"/>
          </w:tcPr>
          <w:p>
            <w:r>
              <w:rPr>
                <w:rFonts w:ascii="Calibri" w:hAnsi="Calibri"/>
                <w:sz w:val="22"/>
              </w:rPr>
              <w:t>$1.81–$1.84 ($1.835 mid)</w:t>
            </w:r>
          </w:p>
        </w:tc>
        <w:tc>
          <w:tcPr>
            <w:tcW w:type="dxa" w:w="1234"/>
          </w:tcPr>
          <w:p>
            <w:r>
              <w:rPr>
                <w:rFonts w:ascii="Calibri" w:hAnsi="Calibri"/>
                <w:sz w:val="22"/>
              </w:rPr>
              <w:t>N/A (quarterly vs. FY)</w:t>
            </w:r>
          </w:p>
        </w:tc>
      </w:tr>
      <w:tr>
        <w:tc>
          <w:tcPr>
            <w:tcW w:type="dxa" w:w="1234"/>
          </w:tcPr>
          <w:p>
            <w:r>
              <w:rPr>
                <w:rFonts w:ascii="Calibri" w:hAnsi="Calibri"/>
                <w:sz w:val="22"/>
              </w:rPr>
              <w:t>Same-Site NOI Growth — YoY (%)</w:t>
            </w:r>
          </w:p>
        </w:tc>
        <w:tc>
          <w:tcPr>
            <w:tcW w:type="dxa" w:w="1234"/>
          </w:tcPr>
          <w:p>
            <w:r>
              <w:rPr>
                <w:rFonts w:ascii="Calibri" w:hAnsi="Calibri"/>
                <w:sz w:val="22"/>
              </w:rPr>
              <w:t>1.7%</w:t>
            </w:r>
          </w:p>
        </w:tc>
        <w:tc>
          <w:tcPr>
            <w:tcW w:type="dxa" w:w="1234"/>
          </w:tcPr>
          <w:p>
            <w:r>
              <w:rPr>
                <w:rFonts w:ascii="Calibri" w:hAnsi="Calibri"/>
                <w:sz w:val="22"/>
              </w:rPr>
              <w:t>3.1%</w:t>
            </w:r>
          </w:p>
        </w:tc>
        <w:tc>
          <w:tcPr>
            <w:tcW w:type="dxa" w:w="1234"/>
          </w:tcPr>
          <w:p>
            <w:r>
              <w:rPr>
                <w:rFonts w:ascii="Calibri" w:hAnsi="Calibri"/>
                <w:sz w:val="22"/>
              </w:rPr>
              <w:t>3.9%</w:t>
            </w:r>
          </w:p>
        </w:tc>
        <w:tc>
          <w:tcPr>
            <w:tcW w:type="dxa" w:w="1234"/>
          </w:tcPr>
          <w:p>
            <w:r>
              <w:rPr>
                <w:rFonts w:ascii="Calibri" w:hAnsi="Calibri"/>
                <w:sz w:val="22"/>
              </w:rPr>
              <w:t>+280 bps</w:t>
            </w:r>
          </w:p>
        </w:tc>
        <w:tc>
          <w:tcPr>
            <w:tcW w:type="dxa" w:w="1234"/>
          </w:tcPr>
          <w:p>
            <w:r>
              <w:rPr>
                <w:rFonts w:ascii="Calibri" w:hAnsi="Calibri"/>
                <w:sz w:val="22"/>
              </w:rPr>
              <w:t>2.8%–3.5% (3.15% mid)</w:t>
            </w:r>
          </w:p>
        </w:tc>
        <w:tc>
          <w:tcPr>
            <w:tcW w:type="dxa" w:w="1234"/>
          </w:tcPr>
          <w:p>
            <w:r>
              <w:rPr>
                <w:rFonts w:ascii="Calibri" w:hAnsi="Calibri"/>
                <w:sz w:val="22"/>
              </w:rPr>
              <w:t>+75 bps above mid</w:t>
            </w:r>
          </w:p>
        </w:tc>
      </w:tr>
      <w:tr>
        <w:tc>
          <w:tcPr>
            <w:tcW w:type="dxa" w:w="1234"/>
          </w:tcPr>
          <w:p>
            <w:r>
              <w:rPr>
                <w:rFonts w:ascii="Calibri" w:hAnsi="Calibri"/>
                <w:sz w:val="22"/>
              </w:rPr>
              <w:t>Total Revenue ($M)</w:t>
            </w:r>
          </w:p>
        </w:tc>
        <w:tc>
          <w:tcPr>
            <w:tcW w:type="dxa" w:w="1234"/>
          </w:tcPr>
          <w:p>
            <w:r>
              <w:rPr>
                <w:rFonts w:ascii="Calibri" w:hAnsi="Calibri"/>
                <w:sz w:val="22"/>
              </w:rPr>
              <w:t>$555.5M</w:t>
            </w:r>
          </w:p>
        </w:tc>
        <w:tc>
          <w:tcPr>
            <w:tcW w:type="dxa" w:w="1234"/>
          </w:tcPr>
          <w:p>
            <w:r>
              <w:rPr>
                <w:rFonts w:ascii="Calibri" w:hAnsi="Calibri"/>
                <w:sz w:val="22"/>
              </w:rPr>
              <w:t>$525.4M</w:t>
            </w:r>
          </w:p>
        </w:tc>
        <w:tc>
          <w:tcPr>
            <w:tcW w:type="dxa" w:w="1234"/>
          </w:tcPr>
          <w:p>
            <w:r>
              <w:rPr>
                <w:rFonts w:ascii="Calibri" w:hAnsi="Calibri"/>
                <w:sz w:val="22"/>
              </w:rPr>
              <w:t>$543.9M</w:t>
            </w:r>
          </w:p>
        </w:tc>
        <w:tc>
          <w:tcPr>
            <w:tcW w:type="dxa" w:w="1234"/>
          </w:tcPr>
          <w:p>
            <w:r>
              <w:rPr>
                <w:rFonts w:ascii="Calibri" w:hAnsi="Calibri"/>
                <w:sz w:val="22"/>
              </w:rPr>
              <w:t>+3.5%</w:t>
            </w:r>
          </w:p>
        </w:tc>
        <w:tc>
          <w:tcPr>
            <w:tcW w:type="dxa" w:w="1234"/>
          </w:tcPr>
          <w:p>
            <w:r>
              <w:rPr>
                <w:rFonts w:ascii="Calibri" w:hAnsi="Calibri"/>
                <w:sz w:val="22"/>
              </w:rPr>
              <w:t>~$2.21B FY (mid)</w:t>
            </w:r>
          </w:p>
        </w:tc>
        <w:tc>
          <w:tcPr>
            <w:tcW w:type="dxa" w:w="1234"/>
          </w:tcPr>
          <w:p>
            <w:r>
              <w:rPr>
                <w:rFonts w:ascii="Calibri" w:hAnsi="Calibri"/>
                <w:sz w:val="22"/>
              </w:rPr>
              <w:t>N/A (quarterly vs. FY)</w:t>
            </w:r>
          </w:p>
        </w:tc>
      </w:tr>
      <w:tr>
        <w:tc>
          <w:tcPr>
            <w:tcW w:type="dxa" w:w="1234"/>
          </w:tcPr>
          <w:p>
            <w:r>
              <w:rPr>
                <w:rFonts w:ascii="Calibri" w:hAnsi="Calibri"/>
                <w:sz w:val="22"/>
              </w:rPr>
              <w:t>Shopping Centre Occupancy Rate (%)</w:t>
            </w:r>
          </w:p>
        </w:tc>
        <w:tc>
          <w:tcPr>
            <w:tcW w:type="dxa" w:w="1234"/>
          </w:tcPr>
          <w:p>
            <w:r>
              <w:rPr>
                <w:rFonts w:ascii="Calibri" w:hAnsi="Calibri"/>
                <w:sz w:val="22"/>
              </w:rPr>
              <w:t>96.3%</w:t>
            </w:r>
          </w:p>
        </w:tc>
        <w:tc>
          <w:tcPr>
            <w:tcW w:type="dxa" w:w="1234"/>
          </w:tcPr>
          <w:p>
            <w:r>
              <w:rPr>
                <w:rFonts w:ascii="Calibri" w:hAnsi="Calibri"/>
                <w:sz w:val="22"/>
              </w:rPr>
              <w:t>95.4%</w:t>
            </w:r>
          </w:p>
        </w:tc>
        <w:tc>
          <w:tcPr>
            <w:tcW w:type="dxa" w:w="1234"/>
          </w:tcPr>
          <w:p>
            <w:r>
              <w:rPr>
                <w:rFonts w:ascii="Calibri" w:hAnsi="Calibri"/>
                <w:sz w:val="22"/>
              </w:rPr>
              <w:t>96.0%</w:t>
            </w:r>
          </w:p>
        </w:tc>
        <w:tc>
          <w:tcPr>
            <w:tcW w:type="dxa" w:w="1234"/>
          </w:tcPr>
          <w:p>
            <w:r>
              <w:rPr>
                <w:rFonts w:ascii="Calibri" w:hAnsi="Calibri"/>
                <w:sz w:val="22"/>
              </w:rPr>
              <w:t>+60 bps</w:t>
            </w:r>
          </w:p>
        </w:tc>
        <w:tc>
          <w:tcPr>
            <w:tcW w:type="dxa" w:w="1234"/>
          </w:tcPr>
          <w:p>
            <w:r>
              <w:rPr>
                <w:rFonts w:ascii="Calibri" w:hAnsi="Calibri"/>
                <w:sz w:val="22"/>
              </w:rPr>
              <w:t>No specific quarterly guidance</w:t>
            </w:r>
          </w:p>
        </w:tc>
        <w:tc>
          <w:tcPr>
            <w:tcW w:type="dxa" w:w="1234"/>
          </w:tcPr>
          <w:p>
            <w:r>
              <w:rPr>
                <w:rFonts w:ascii="Calibri" w:hAnsi="Calibri"/>
                <w:sz w:val="22"/>
              </w:rPr>
              <w:t>N/A</w:t>
            </w:r>
          </w:p>
        </w:tc>
      </w:tr>
      <w:tr>
        <w:tc>
          <w:tcPr>
            <w:tcW w:type="dxa" w:w="1234"/>
          </w:tcPr>
          <w:p>
            <w:r>
              <w:rPr>
                <w:rFonts w:ascii="Calibri" w:hAnsi="Calibri"/>
                <w:sz w:val="22"/>
              </w:rPr>
              <w:t>NOI from Continuing Operations ($M)</w:t>
            </w:r>
          </w:p>
        </w:tc>
        <w:tc>
          <w:tcPr>
            <w:tcW w:type="dxa" w:w="1234"/>
          </w:tcPr>
          <w:p>
            <w:r>
              <w:rPr>
                <w:rFonts w:ascii="Calibri" w:hAnsi="Calibri"/>
                <w:sz w:val="22"/>
              </w:rPr>
              <w:t>$380.6M</w:t>
            </w:r>
          </w:p>
        </w:tc>
        <w:tc>
          <w:tcPr>
            <w:tcW w:type="dxa" w:w="1234"/>
          </w:tcPr>
          <w:p>
            <w:r>
              <w:rPr>
                <w:rFonts w:ascii="Calibri" w:hAnsi="Calibri"/>
                <w:sz w:val="22"/>
              </w:rPr>
              <w:t>$359.1M</w:t>
            </w:r>
          </w:p>
        </w:tc>
        <w:tc>
          <w:tcPr>
            <w:tcW w:type="dxa" w:w="1234"/>
          </w:tcPr>
          <w:p>
            <w:r>
              <w:rPr>
                <w:rFonts w:ascii="Calibri" w:hAnsi="Calibri"/>
                <w:sz w:val="22"/>
              </w:rPr>
              <w:t>$372.1M</w:t>
            </w:r>
          </w:p>
        </w:tc>
        <w:tc>
          <w:tcPr>
            <w:tcW w:type="dxa" w:w="1234"/>
          </w:tcPr>
          <w:p>
            <w:r>
              <w:rPr>
                <w:rFonts w:ascii="Calibri" w:hAnsi="Calibri"/>
                <w:sz w:val="22"/>
              </w:rPr>
              <w:t>+3.6%</w:t>
            </w:r>
          </w:p>
        </w:tc>
        <w:tc>
          <w:tcPr>
            <w:tcW w:type="dxa" w:w="1234"/>
          </w:tcPr>
          <w:p>
            <w:r>
              <w:rPr>
                <w:rFonts w:ascii="Calibri" w:hAnsi="Calibri"/>
                <w:sz w:val="22"/>
              </w:rPr>
              <w:t>~$1.51B FY (mid)</w:t>
            </w:r>
          </w:p>
        </w:tc>
        <w:tc>
          <w:tcPr>
            <w:tcW w:type="dxa" w:w="1234"/>
          </w:tcPr>
          <w:p>
            <w:r>
              <w:rPr>
                <w:rFonts w:ascii="Calibri" w:hAnsi="Calibri"/>
                <w:sz w:val="22"/>
              </w:rPr>
              <w:t>N/A (quarterly vs. FY)</w:t>
            </w:r>
          </w:p>
        </w:tc>
      </w:tr>
      <w:tr>
        <w:tc>
          <w:tcPr>
            <w:tcW w:type="dxa" w:w="1234"/>
          </w:tcPr>
          <w:p>
            <w:r>
              <w:rPr>
                <w:rFonts w:ascii="Calibri" w:hAnsi="Calibri"/>
                <w:sz w:val="22"/>
              </w:rPr>
              <w:t>Dividend per Share ($)</w:t>
            </w:r>
          </w:p>
        </w:tc>
        <w:tc>
          <w:tcPr>
            <w:tcW w:type="dxa" w:w="1234"/>
          </w:tcPr>
          <w:p>
            <w:r>
              <w:rPr>
                <w:rFonts w:ascii="Calibri" w:hAnsi="Calibri"/>
                <w:sz w:val="22"/>
              </w:rPr>
              <w:t>$0.260</w:t>
            </w:r>
          </w:p>
        </w:tc>
        <w:tc>
          <w:tcPr>
            <w:tcW w:type="dxa" w:w="1234"/>
          </w:tcPr>
          <w:p>
            <w:r>
              <w:rPr>
                <w:rFonts w:ascii="Calibri" w:hAnsi="Calibri"/>
                <w:sz w:val="22"/>
              </w:rPr>
              <w:t>$0.250</w:t>
            </w:r>
          </w:p>
        </w:tc>
        <w:tc>
          <w:tcPr>
            <w:tcW w:type="dxa" w:w="1234"/>
          </w:tcPr>
          <w:p>
            <w:r>
              <w:rPr>
                <w:rFonts w:ascii="Calibri" w:hAnsi="Calibri"/>
                <w:sz w:val="22"/>
              </w:rPr>
              <w:t>$0.261</w:t>
            </w:r>
          </w:p>
        </w:tc>
        <w:tc>
          <w:tcPr>
            <w:tcW w:type="dxa" w:w="1234"/>
          </w:tcPr>
          <w:p>
            <w:r>
              <w:rPr>
                <w:rFonts w:ascii="Calibri" w:hAnsi="Calibri"/>
                <w:sz w:val="22"/>
              </w:rPr>
              <w:t>+4.4%</w:t>
            </w:r>
          </w:p>
        </w:tc>
        <w:tc>
          <w:tcPr>
            <w:tcW w:type="dxa" w:w="1234"/>
          </w:tcPr>
          <w:p>
            <w:r>
              <w:rPr>
                <w:rFonts w:ascii="Calibri" w:hAnsi="Calibri"/>
                <w:sz w:val="22"/>
              </w:rPr>
              <w:t>~$1.054 FY</w:t>
            </w:r>
          </w:p>
        </w:tc>
        <w:tc>
          <w:tcPr>
            <w:tcW w:type="dxa" w:w="1234"/>
          </w:tcPr>
          <w:p>
            <w:r>
              <w:rPr>
                <w:rFonts w:ascii="Calibri" w:hAnsi="Calibri"/>
                <w:sz w:val="22"/>
              </w:rPr>
              <w:t>N/A</w:t>
            </w:r>
          </w:p>
        </w:tc>
      </w:tr>
    </w:tbl>
    <w:p>
      <w:r>
        <w:rPr>
          <w:rFonts w:ascii="Calibri" w:hAnsi="Calibri"/>
          <w:color w:val="525866"/>
          <w:sz w:val="22"/>
        </w:rPr>
        <w:t>Source: Visible Alpha Consensus and Actuals Data. All figures in USD. Q2 2026 consensus as of August 3, 2026. Same-site NOI growth consensus of 3.9% sits above the FY guidance midpoint of 3.15%, reflecting street expectation of sequential acceleration from Q1's 1.7% trough.</w:t>
      </w:r>
    </w:p>
    <w:p>
      <w:pPr>
        <w:pStyle w:val="Heading3"/>
      </w:pPr>
      <w:r>
        <w:rPr>
          <w:rFonts w:ascii="Calibri" w:hAnsi="Calibri"/>
          <w:b/>
          <w:color w:val="3B4259"/>
          <w:sz w:val="24"/>
        </w:rPr>
        <w:t>Table 2 — Beat/Miss History (Last 8 Quarters, Top 2 KPIs)</w:t>
      </w:r>
    </w:p>
    <w:p>
      <w:pPr>
        <w:pStyle w:val="Heading4"/>
      </w:pPr>
      <w:r>
        <w:rPr>
          <w:rFonts w:ascii="Calibri" w:hAnsi="Calibri"/>
          <w:b/>
          <w:color w:val="3B4259"/>
          <w:sz w:val="22"/>
        </w:rPr>
        <w:t>Core FFO per Share — Diluted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$0.458</w:t>
            </w:r>
          </w:p>
        </w:tc>
        <w:tc>
          <w:tcPr>
            <w:tcW w:type="dxa" w:w="1728"/>
          </w:tcPr>
          <w:p>
            <w:r>
              <w:rPr>
                <w:rFonts w:ascii="Calibri" w:hAnsi="Calibri"/>
                <w:sz w:val="22"/>
              </w:rPr>
              <w:t>$0.453</w:t>
            </w:r>
          </w:p>
        </w:tc>
        <w:tc>
          <w:tcPr>
            <w:tcW w:type="dxa" w:w="1728"/>
          </w:tcPr>
          <w:p>
            <w:r>
              <w:rPr>
                <w:rFonts w:ascii="Calibri" w:hAnsi="Calibri"/>
                <w:b/>
                <w:color w:val="30A46C"/>
                <w:sz w:val="22"/>
              </w:rPr>
              <w:t>+1.1%</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$0.432</w:t>
            </w:r>
          </w:p>
        </w:tc>
        <w:tc>
          <w:tcPr>
            <w:tcW w:type="dxa" w:w="1728"/>
          </w:tcPr>
          <w:p>
            <w:r>
              <w:rPr>
                <w:rFonts w:ascii="Calibri" w:hAnsi="Calibri"/>
                <w:sz w:val="22"/>
              </w:rPr>
              <w:t>$0.436</w:t>
            </w:r>
          </w:p>
        </w:tc>
        <w:tc>
          <w:tcPr>
            <w:tcW w:type="dxa" w:w="1728"/>
          </w:tcPr>
          <w:p>
            <w:r>
              <w:rPr>
                <w:rFonts w:ascii="Calibri" w:hAnsi="Calibri"/>
                <w:b/>
                <w:color w:val="E5484D"/>
                <w:sz w:val="22"/>
              </w:rPr>
              <w:t>-0.9%</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$0.440</w:t>
            </w:r>
          </w:p>
        </w:tc>
        <w:tc>
          <w:tcPr>
            <w:tcW w:type="dxa" w:w="1728"/>
          </w:tcPr>
          <w:p>
            <w:r>
              <w:rPr>
                <w:rFonts w:ascii="Calibri" w:hAnsi="Calibri"/>
                <w:sz w:val="22"/>
              </w:rPr>
              <w:t>$0.431</w:t>
            </w:r>
          </w:p>
        </w:tc>
        <w:tc>
          <w:tcPr>
            <w:tcW w:type="dxa" w:w="1728"/>
          </w:tcPr>
          <w:p>
            <w:r>
              <w:rPr>
                <w:rFonts w:ascii="Calibri" w:hAnsi="Calibri"/>
                <w:b/>
                <w:color w:val="30A46C"/>
                <w:sz w:val="22"/>
              </w:rPr>
              <w:t>+2.1%</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$0.437</w:t>
            </w:r>
          </w:p>
        </w:tc>
        <w:tc>
          <w:tcPr>
            <w:tcW w:type="dxa" w:w="1728"/>
          </w:tcPr>
          <w:p>
            <w:r>
              <w:rPr>
                <w:rFonts w:ascii="Calibri" w:hAnsi="Calibri"/>
                <w:sz w:val="22"/>
              </w:rPr>
              <w:t>$0.427</w:t>
            </w:r>
          </w:p>
        </w:tc>
        <w:tc>
          <w:tcPr>
            <w:tcW w:type="dxa" w:w="1728"/>
          </w:tcPr>
          <w:p>
            <w:r>
              <w:rPr>
                <w:rFonts w:ascii="Calibri" w:hAnsi="Calibri"/>
                <w:b/>
                <w:color w:val="30A46C"/>
                <w:sz w:val="22"/>
              </w:rPr>
              <w:t>+2.3%</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$0.441</w:t>
            </w:r>
          </w:p>
        </w:tc>
        <w:tc>
          <w:tcPr>
            <w:tcW w:type="dxa" w:w="1728"/>
          </w:tcPr>
          <w:p>
            <w:r>
              <w:rPr>
                <w:rFonts w:ascii="Calibri" w:hAnsi="Calibri"/>
                <w:sz w:val="22"/>
              </w:rPr>
              <w:t>$0.422</w:t>
            </w:r>
          </w:p>
        </w:tc>
        <w:tc>
          <w:tcPr>
            <w:tcW w:type="dxa" w:w="1728"/>
          </w:tcPr>
          <w:p>
            <w:r>
              <w:rPr>
                <w:rFonts w:ascii="Calibri" w:hAnsi="Calibri"/>
                <w:b/>
                <w:color w:val="30A46C"/>
                <w:sz w:val="22"/>
              </w:rPr>
              <w:t>+4.5%</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$0.421</w:t>
            </w:r>
          </w:p>
        </w:tc>
        <w:tc>
          <w:tcPr>
            <w:tcW w:type="dxa" w:w="1728"/>
          </w:tcPr>
          <w:p>
            <w:r>
              <w:rPr>
                <w:rFonts w:ascii="Calibri" w:hAnsi="Calibri"/>
                <w:sz w:val="22"/>
              </w:rPr>
              <w:t>$0.421</w:t>
            </w:r>
          </w:p>
        </w:tc>
        <w:tc>
          <w:tcPr>
            <w:tcW w:type="dxa" w:w="1728"/>
          </w:tcPr>
          <w:p>
            <w:r>
              <w:rPr>
                <w:rFonts w:ascii="Calibri" w:hAnsi="Calibri"/>
                <w:sz w:val="22"/>
              </w:rPr>
              <w:t>0.0%</w:t>
            </w:r>
          </w:p>
        </w:tc>
        <w:tc>
          <w:tcPr>
            <w:tcW w:type="dxa" w:w="1728"/>
          </w:tcPr>
          <w:p>
            <w:r>
              <w:rPr>
                <w:rFonts w:ascii="Calibri" w:hAnsi="Calibri"/>
                <w:sz w:val="22"/>
              </w:rPr>
              <w:t>In-Line</w:t>
            </w:r>
          </w:p>
        </w:tc>
      </w:tr>
      <w:tr>
        <w:tc>
          <w:tcPr>
            <w:tcW w:type="dxa" w:w="1728"/>
          </w:tcPr>
          <w:p>
            <w:r>
              <w:rPr>
                <w:rFonts w:ascii="Calibri" w:hAnsi="Calibri"/>
                <w:sz w:val="22"/>
              </w:rPr>
              <w:t>Q3 2024</w:t>
            </w:r>
          </w:p>
        </w:tc>
        <w:tc>
          <w:tcPr>
            <w:tcW w:type="dxa" w:w="1728"/>
          </w:tcPr>
          <w:p>
            <w:r>
              <w:rPr>
                <w:rFonts w:ascii="Calibri" w:hAnsi="Calibri"/>
                <w:sz w:val="22"/>
              </w:rPr>
              <w:t>$0.423</w:t>
            </w:r>
          </w:p>
        </w:tc>
        <w:tc>
          <w:tcPr>
            <w:tcW w:type="dxa" w:w="1728"/>
          </w:tcPr>
          <w:p>
            <w:r>
              <w:rPr>
                <w:rFonts w:ascii="Calibri" w:hAnsi="Calibri"/>
                <w:sz w:val="22"/>
              </w:rPr>
              <w:t>$0.408</w:t>
            </w:r>
          </w:p>
        </w:tc>
        <w:tc>
          <w:tcPr>
            <w:tcW w:type="dxa" w:w="1728"/>
          </w:tcPr>
          <w:p>
            <w:r>
              <w:rPr>
                <w:rFonts w:ascii="Calibri" w:hAnsi="Calibri"/>
                <w:b/>
                <w:color w:val="30A46C"/>
                <w:sz w:val="22"/>
              </w:rPr>
              <w:t>+3.7%</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$0.406</w:t>
            </w:r>
          </w:p>
        </w:tc>
        <w:tc>
          <w:tcPr>
            <w:tcW w:type="dxa" w:w="1728"/>
          </w:tcPr>
          <w:p>
            <w:r>
              <w:rPr>
                <w:rFonts w:ascii="Calibri" w:hAnsi="Calibri"/>
                <w:sz w:val="22"/>
              </w:rPr>
              <w:t>$0.401</w:t>
            </w:r>
          </w:p>
        </w:tc>
        <w:tc>
          <w:tcPr>
            <w:tcW w:type="dxa" w:w="1728"/>
          </w:tcPr>
          <w:p>
            <w:r>
              <w:rPr>
                <w:rFonts w:ascii="Calibri" w:hAnsi="Calibri"/>
                <w:b/>
                <w:color w:val="30A46C"/>
                <w:sz w:val="22"/>
              </w:rPr>
              <w:t>+1.2%</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KIM has beaten Core FFO consensus in 7 of the last 8 quarters, with the lone miss in Q4 2025 driven by timing of non-cash items; the consistent beat cadence suggests the bar is typically set conservatively.</w:t>
      </w:r>
    </w:p>
    <w:p>
      <w:pPr>
        <w:pStyle w:val="Heading4"/>
      </w:pPr>
      <w:r>
        <w:rPr>
          <w:rFonts w:ascii="Calibri" w:hAnsi="Calibri"/>
          <w:b/>
          <w:color w:val="3B4259"/>
          <w:sz w:val="22"/>
        </w:rPr>
        <w:t>Same-Site NOI Growth — YoY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(bps)</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1.7%</w:t>
            </w:r>
          </w:p>
        </w:tc>
        <w:tc>
          <w:tcPr>
            <w:tcW w:type="dxa" w:w="1728"/>
          </w:tcPr>
          <w:p>
            <w:r>
              <w:rPr>
                <w:rFonts w:ascii="Calibri" w:hAnsi="Calibri"/>
                <w:sz w:val="22"/>
              </w:rPr>
              <w:t>2.5%</w:t>
            </w:r>
          </w:p>
        </w:tc>
        <w:tc>
          <w:tcPr>
            <w:tcW w:type="dxa" w:w="1728"/>
          </w:tcPr>
          <w:p>
            <w:r>
              <w:rPr>
                <w:rFonts w:ascii="Calibri" w:hAnsi="Calibri"/>
                <w:b/>
                <w:color w:val="E5484D"/>
                <w:sz w:val="22"/>
              </w:rPr>
              <w:t>-80 bps</w:t>
            </w:r>
          </w:p>
        </w:tc>
        <w:tc>
          <w:tcPr>
            <w:tcW w:type="dxa" w:w="1728"/>
          </w:tcPr>
          <w:p>
            <w:r>
              <w:rPr>
                <w:rFonts w:ascii="Calibri" w:hAnsi="Calibri"/>
                <w:b/>
                <w:color w:val="E5484D"/>
                <w:sz w:val="22"/>
              </w:rPr>
              <w:t>Miss (expected trough)</w:t>
            </w:r>
          </w:p>
        </w:tc>
      </w:tr>
      <w:tr>
        <w:tc>
          <w:tcPr>
            <w:tcW w:type="dxa" w:w="1728"/>
          </w:tcPr>
          <w:p>
            <w:r>
              <w:rPr>
                <w:rFonts w:ascii="Calibri" w:hAnsi="Calibri"/>
                <w:sz w:val="22"/>
              </w:rPr>
              <w:t>Q4 2025</w:t>
            </w:r>
          </w:p>
        </w:tc>
        <w:tc>
          <w:tcPr>
            <w:tcW w:type="dxa" w:w="1728"/>
          </w:tcPr>
          <w:p>
            <w:r>
              <w:rPr>
                <w:rFonts w:ascii="Calibri" w:hAnsi="Calibri"/>
                <w:sz w:val="22"/>
              </w:rPr>
              <w:t>3.0%</w:t>
            </w:r>
          </w:p>
        </w:tc>
        <w:tc>
          <w:tcPr>
            <w:tcW w:type="dxa" w:w="1728"/>
          </w:tcPr>
          <w:p>
            <w:r>
              <w:rPr>
                <w:rFonts w:ascii="Calibri" w:hAnsi="Calibri"/>
                <w:sz w:val="22"/>
              </w:rPr>
              <w:t>3.0%</w:t>
            </w:r>
          </w:p>
        </w:tc>
        <w:tc>
          <w:tcPr>
            <w:tcW w:type="dxa" w:w="1728"/>
          </w:tcPr>
          <w:p>
            <w:r>
              <w:rPr>
                <w:rFonts w:ascii="Calibri" w:hAnsi="Calibri"/>
                <w:sz w:val="22"/>
              </w:rPr>
              <w:t>0 bps</w:t>
            </w:r>
          </w:p>
        </w:tc>
        <w:tc>
          <w:tcPr>
            <w:tcW w:type="dxa" w:w="1728"/>
          </w:tcPr>
          <w:p>
            <w:r>
              <w:rPr>
                <w:rFonts w:ascii="Calibri" w:hAnsi="Calibri"/>
                <w:sz w:val="22"/>
              </w:rPr>
              <w:t>In-Line</w:t>
            </w:r>
          </w:p>
        </w:tc>
      </w:tr>
      <w:tr>
        <w:tc>
          <w:tcPr>
            <w:tcW w:type="dxa" w:w="1728"/>
          </w:tcPr>
          <w:p>
            <w:r>
              <w:rPr>
                <w:rFonts w:ascii="Calibri" w:hAnsi="Calibri"/>
                <w:sz w:val="22"/>
              </w:rPr>
              <w:t>Q3 2025</w:t>
            </w:r>
          </w:p>
        </w:tc>
        <w:tc>
          <w:tcPr>
            <w:tcW w:type="dxa" w:w="1728"/>
          </w:tcPr>
          <w:p>
            <w:r>
              <w:rPr>
                <w:rFonts w:ascii="Calibri" w:hAnsi="Calibri"/>
                <w:sz w:val="22"/>
              </w:rPr>
              <w:t>1.9%</w:t>
            </w:r>
          </w:p>
        </w:tc>
        <w:tc>
          <w:tcPr>
            <w:tcW w:type="dxa" w:w="1728"/>
          </w:tcPr>
          <w:p>
            <w:r>
              <w:rPr>
                <w:rFonts w:ascii="Calibri" w:hAnsi="Calibri"/>
                <w:sz w:val="22"/>
              </w:rPr>
              <w:t>2.5%</w:t>
            </w:r>
          </w:p>
        </w:tc>
        <w:tc>
          <w:tcPr>
            <w:tcW w:type="dxa" w:w="1728"/>
          </w:tcPr>
          <w:p>
            <w:r>
              <w:rPr>
                <w:rFonts w:ascii="Calibri" w:hAnsi="Calibri"/>
                <w:b/>
                <w:color w:val="E5484D"/>
                <w:sz w:val="22"/>
              </w:rPr>
              <w:t>-60 bps</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3.1%</w:t>
            </w:r>
          </w:p>
        </w:tc>
        <w:tc>
          <w:tcPr>
            <w:tcW w:type="dxa" w:w="1728"/>
          </w:tcPr>
          <w:p>
            <w:r>
              <w:rPr>
                <w:rFonts w:ascii="Calibri" w:hAnsi="Calibri"/>
                <w:sz w:val="22"/>
              </w:rPr>
              <w:t>3.3%</w:t>
            </w:r>
          </w:p>
        </w:tc>
        <w:tc>
          <w:tcPr>
            <w:tcW w:type="dxa" w:w="1728"/>
          </w:tcPr>
          <w:p>
            <w:r>
              <w:rPr>
                <w:rFonts w:ascii="Calibri" w:hAnsi="Calibri"/>
                <w:b/>
                <w:color w:val="E5484D"/>
                <w:sz w:val="22"/>
              </w:rPr>
              <w:t>-20 bps</w:t>
            </w:r>
          </w:p>
        </w:tc>
        <w:tc>
          <w:tcPr>
            <w:tcW w:type="dxa" w:w="1728"/>
          </w:tcPr>
          <w:p>
            <w:r>
              <w:rPr>
                <w:rFonts w:ascii="Calibri" w:hAnsi="Calibri"/>
                <w:b/>
                <w:color w:val="E5484D"/>
                <w:sz w:val="22"/>
              </w:rPr>
              <w:t>Slight Miss</w:t>
            </w:r>
          </w:p>
        </w:tc>
      </w:tr>
      <w:tr>
        <w:tc>
          <w:tcPr>
            <w:tcW w:type="dxa" w:w="1728"/>
          </w:tcPr>
          <w:p>
            <w:r>
              <w:rPr>
                <w:rFonts w:ascii="Calibri" w:hAnsi="Calibri"/>
                <w:sz w:val="22"/>
              </w:rPr>
              <w:t>Q1 2025</w:t>
            </w:r>
          </w:p>
        </w:tc>
        <w:tc>
          <w:tcPr>
            <w:tcW w:type="dxa" w:w="1728"/>
          </w:tcPr>
          <w:p>
            <w:r>
              <w:rPr>
                <w:rFonts w:ascii="Calibri" w:hAnsi="Calibri"/>
                <w:sz w:val="22"/>
              </w:rPr>
              <w:t>3.9%</w:t>
            </w:r>
          </w:p>
        </w:tc>
        <w:tc>
          <w:tcPr>
            <w:tcW w:type="dxa" w:w="1728"/>
          </w:tcPr>
          <w:p>
            <w:r>
              <w:rPr>
                <w:rFonts w:ascii="Calibri" w:hAnsi="Calibri"/>
                <w:sz w:val="22"/>
              </w:rPr>
              <w:t>3.0%</w:t>
            </w:r>
          </w:p>
        </w:tc>
        <w:tc>
          <w:tcPr>
            <w:tcW w:type="dxa" w:w="1728"/>
          </w:tcPr>
          <w:p>
            <w:r>
              <w:rPr>
                <w:rFonts w:ascii="Calibri" w:hAnsi="Calibri"/>
                <w:b/>
                <w:color w:val="30A46C"/>
                <w:sz w:val="22"/>
              </w:rPr>
              <w:t>+90 bps</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4.5%</w:t>
            </w:r>
          </w:p>
        </w:tc>
        <w:tc>
          <w:tcPr>
            <w:tcW w:type="dxa" w:w="1728"/>
          </w:tcPr>
          <w:p>
            <w:r>
              <w:rPr>
                <w:rFonts w:ascii="Calibri" w:hAnsi="Calibri"/>
                <w:sz w:val="22"/>
              </w:rPr>
              <w:t>9.3%</w:t>
            </w:r>
          </w:p>
        </w:tc>
        <w:tc>
          <w:tcPr>
            <w:tcW w:type="dxa" w:w="1728"/>
          </w:tcPr>
          <w:p>
            <w:r>
              <w:rPr>
                <w:rFonts w:ascii="Calibri" w:hAnsi="Calibri"/>
                <w:b/>
                <w:color w:val="E5484D"/>
                <w:sz w:val="22"/>
              </w:rPr>
              <w:t>-480 bps</w:t>
            </w:r>
          </w:p>
        </w:tc>
        <w:tc>
          <w:tcPr>
            <w:tcW w:type="dxa" w:w="1728"/>
          </w:tcPr>
          <w:p>
            <w:r>
              <w:rPr>
                <w:rFonts w:ascii="Calibri" w:hAnsi="Calibri"/>
                <w:b/>
                <w:color w:val="E5484D"/>
                <w:sz w:val="22"/>
              </w:rPr>
              <w:t>Miss (consensus stale)</w:t>
            </w:r>
          </w:p>
        </w:tc>
      </w:tr>
      <w:tr>
        <w:tc>
          <w:tcPr>
            <w:tcW w:type="dxa" w:w="1728"/>
          </w:tcPr>
          <w:p>
            <w:r>
              <w:rPr>
                <w:rFonts w:ascii="Calibri" w:hAnsi="Calibri"/>
                <w:sz w:val="22"/>
              </w:rPr>
              <w:t>Q3 2024</w:t>
            </w:r>
          </w:p>
        </w:tc>
        <w:tc>
          <w:tcPr>
            <w:tcW w:type="dxa" w:w="1728"/>
          </w:tcPr>
          <w:p>
            <w:r>
              <w:rPr>
                <w:rFonts w:ascii="Calibri" w:hAnsi="Calibri"/>
                <w:sz w:val="22"/>
              </w:rPr>
              <w:t>3.3%</w:t>
            </w:r>
          </w:p>
        </w:tc>
        <w:tc>
          <w:tcPr>
            <w:tcW w:type="dxa" w:w="1728"/>
          </w:tcPr>
          <w:p>
            <w:r>
              <w:rPr>
                <w:rFonts w:ascii="Calibri" w:hAnsi="Calibri"/>
                <w:sz w:val="22"/>
              </w:rPr>
              <w:t>9.5%</w:t>
            </w:r>
          </w:p>
        </w:tc>
        <w:tc>
          <w:tcPr>
            <w:tcW w:type="dxa" w:w="1728"/>
          </w:tcPr>
          <w:p>
            <w:r>
              <w:rPr>
                <w:rFonts w:ascii="Calibri" w:hAnsi="Calibri"/>
                <w:b/>
                <w:color w:val="E5484D"/>
                <w:sz w:val="22"/>
              </w:rPr>
              <w:t>-620 bps</w:t>
            </w:r>
          </w:p>
        </w:tc>
        <w:tc>
          <w:tcPr>
            <w:tcW w:type="dxa" w:w="1728"/>
          </w:tcPr>
          <w:p>
            <w:r>
              <w:rPr>
                <w:rFonts w:ascii="Calibri" w:hAnsi="Calibri"/>
                <w:b/>
                <w:color w:val="E5484D"/>
                <w:sz w:val="22"/>
              </w:rPr>
              <w:t>Miss (consensus stale)</w:t>
            </w:r>
          </w:p>
        </w:tc>
      </w:tr>
      <w:tr>
        <w:tc>
          <w:tcPr>
            <w:tcW w:type="dxa" w:w="1728"/>
          </w:tcPr>
          <w:p>
            <w:r>
              <w:rPr>
                <w:rFonts w:ascii="Calibri" w:hAnsi="Calibri"/>
                <w:sz w:val="22"/>
              </w:rPr>
              <w:t>Q2 2024</w:t>
            </w:r>
          </w:p>
        </w:tc>
        <w:tc>
          <w:tcPr>
            <w:tcW w:type="dxa" w:w="1728"/>
          </w:tcPr>
          <w:p>
            <w:r>
              <w:rPr>
                <w:rFonts w:ascii="Calibri" w:hAnsi="Calibri"/>
                <w:sz w:val="22"/>
              </w:rPr>
              <w:t>3.0%</w:t>
            </w:r>
          </w:p>
        </w:tc>
        <w:tc>
          <w:tcPr>
            <w:tcW w:type="dxa" w:w="1728"/>
          </w:tcPr>
          <w:p>
            <w:r>
              <w:rPr>
                <w:rFonts w:ascii="Calibri" w:hAnsi="Calibri"/>
                <w:sz w:val="22"/>
              </w:rPr>
              <w:t>8.3%</w:t>
            </w:r>
          </w:p>
        </w:tc>
        <w:tc>
          <w:tcPr>
            <w:tcW w:type="dxa" w:w="1728"/>
          </w:tcPr>
          <w:p>
            <w:r>
              <w:rPr>
                <w:rFonts w:ascii="Calibri" w:hAnsi="Calibri"/>
                <w:b/>
                <w:color w:val="E5484D"/>
                <w:sz w:val="22"/>
              </w:rPr>
              <w:t>-530 bps</w:t>
            </w:r>
          </w:p>
        </w:tc>
        <w:tc>
          <w:tcPr>
            <w:tcW w:type="dxa" w:w="1728"/>
          </w:tcPr>
          <w:p>
            <w:r>
              <w:rPr>
                <w:rFonts w:ascii="Calibri" w:hAnsi="Calibri"/>
                <w:b/>
                <w:color w:val="E5484D"/>
                <w:sz w:val="22"/>
              </w:rPr>
              <w:t>Miss (consensus stale)</w:t>
            </w:r>
          </w:p>
        </w:tc>
      </w:tr>
    </w:tbl>
    <w:p>
      <w:r>
        <w:rPr>
          <w:rFonts w:ascii="Calibri" w:hAnsi="Calibri"/>
          <w:b/>
          <w:color w:val="525866"/>
          <w:sz w:val="22"/>
        </w:rPr>
        <w:t xml:space="preserve">Note: </w:t>
      </w:r>
      <w:r>
        <w:rPr>
          <w:rFonts w:ascii="Calibri" w:hAnsi="Calibri"/>
          <w:color w:val="525866"/>
          <w:sz w:val="22"/>
        </w:rPr>
        <w:t>Same-site NOI consensus figures for 2024 quarters appear to reflect stale or pre-bankruptcy-impact estimates; the more relevant comparison is 2025 quarters where consensus was calibrated to the bankruptcy headwind. Q2 2026 consensus of 3.9% is above the FY guidance midpoint, implying the street expects meaningful sequential acceleration from Q1's 1.7% trough.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moved constructively since Q1 earnings — FFO tightened upward, same-site NOI raised at the low end, and credit loss assumptions improved; tone is confident with no post-earnings negative revisions.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FFO per Share — Diluted</w:t>
            </w:r>
          </w:p>
        </w:tc>
        <w:tc>
          <w:tcPr>
            <w:tcW w:type="dxa" w:w="1728"/>
          </w:tcPr>
          <w:p>
            <w:r>
              <w:rPr>
                <w:rFonts w:ascii="Calibri" w:hAnsi="Calibri"/>
                <w:sz w:val="22"/>
              </w:rPr>
              <w:t>$1.81–$1.84 (tightened from $1.80–$1.84)</w:t>
            </w:r>
          </w:p>
        </w:tc>
        <w:tc>
          <w:tcPr>
            <w:tcW w:type="dxa" w:w="1728"/>
          </w:tcPr>
          <w:p>
            <w:r>
              <w:rPr>
                <w:rFonts w:ascii="Calibri" w:hAnsi="Calibri"/>
                <w:sz w:val="22"/>
              </w:rPr>
              <w:t>Unchanged</w:t>
            </w:r>
          </w:p>
        </w:tc>
        <w:tc>
          <w:tcPr>
            <w:tcW w:type="dxa" w:w="1728"/>
          </w:tcPr>
          <w:p>
            <w:r>
              <w:rPr>
                <w:rFonts w:ascii="Calibri" w:hAnsi="Calibri"/>
                <w:sz w:val="22"/>
              </w:rPr>
              <w:t>$1.835</w:t>
            </w:r>
          </w:p>
        </w:tc>
        <w:tc>
          <w:tcPr>
            <w:tcW w:type="dxa" w:w="1728"/>
          </w:tcPr>
          <w:p>
            <w:r>
              <w:rPr>
                <w:rFonts w:ascii="Calibri" w:hAnsi="Calibri"/>
                <w:sz w:val="22"/>
              </w:rPr>
              <w:t>Tightened upward at Q1 print; no further changes</w:t>
            </w:r>
          </w:p>
        </w:tc>
      </w:tr>
      <w:tr>
        <w:tc>
          <w:tcPr>
            <w:tcW w:type="dxa" w:w="1728"/>
          </w:tcPr>
          <w:p>
            <w:r>
              <w:rPr>
                <w:rFonts w:ascii="Calibri" w:hAnsi="Calibri"/>
                <w:sz w:val="22"/>
              </w:rPr>
              <w:t>FY 2026 Core FFO per Share — Diluted</w:t>
            </w:r>
          </w:p>
        </w:tc>
        <w:tc>
          <w:tcPr>
            <w:tcW w:type="dxa" w:w="1728"/>
          </w:tcPr>
          <w:p>
            <w:r>
              <w:rPr>
                <w:rFonts w:ascii="Calibri" w:hAnsi="Calibri"/>
                <w:sz w:val="22"/>
              </w:rPr>
              <w:t>$1.81–$1.84 (raised low end)</w:t>
            </w:r>
          </w:p>
        </w:tc>
        <w:tc>
          <w:tcPr>
            <w:tcW w:type="dxa" w:w="1728"/>
          </w:tcPr>
          <w:p>
            <w:r>
              <w:rPr>
                <w:rFonts w:ascii="Calibri" w:hAnsi="Calibri"/>
                <w:sz w:val="22"/>
              </w:rPr>
              <w:t>Unchanged</w:t>
            </w:r>
          </w:p>
        </w:tc>
        <w:tc>
          <w:tcPr>
            <w:tcW w:type="dxa" w:w="1728"/>
          </w:tcPr>
          <w:p>
            <w:r>
              <w:rPr>
                <w:rFonts w:ascii="Calibri" w:hAnsi="Calibri"/>
                <w:sz w:val="22"/>
              </w:rPr>
              <w:t>$1.837</w:t>
            </w:r>
          </w:p>
        </w:tc>
        <w:tc>
          <w:tcPr>
            <w:tcW w:type="dxa" w:w="1728"/>
          </w:tcPr>
          <w:p>
            <w:r>
              <w:rPr>
                <w:rFonts w:ascii="Calibri" w:hAnsi="Calibri"/>
                <w:sz w:val="22"/>
              </w:rPr>
              <w:t>Consensus at top of guidance range; reflects beat expectation</w:t>
            </w:r>
          </w:p>
        </w:tc>
      </w:tr>
      <w:tr>
        <w:tc>
          <w:tcPr>
            <w:tcW w:type="dxa" w:w="1728"/>
          </w:tcPr>
          <w:p>
            <w:r>
              <w:rPr>
                <w:rFonts w:ascii="Calibri" w:hAnsi="Calibri"/>
                <w:sz w:val="22"/>
              </w:rPr>
              <w:t>FY 2026 Same-Site NOI Growth</w:t>
            </w:r>
          </w:p>
        </w:tc>
        <w:tc>
          <w:tcPr>
            <w:tcW w:type="dxa" w:w="1728"/>
          </w:tcPr>
          <w:p>
            <w:r>
              <w:rPr>
                <w:rFonts w:ascii="Calibri" w:hAnsi="Calibri"/>
                <w:sz w:val="22"/>
              </w:rPr>
              <w:t>2.8%–3.5% (raised low end from 2.5%)</w:t>
            </w:r>
          </w:p>
        </w:tc>
        <w:tc>
          <w:tcPr>
            <w:tcW w:type="dxa" w:w="1728"/>
          </w:tcPr>
          <w:p>
            <w:r>
              <w:rPr>
                <w:rFonts w:ascii="Calibri" w:hAnsi="Calibri"/>
                <w:sz w:val="22"/>
              </w:rPr>
              <w:t>Unchanged</w:t>
            </w:r>
          </w:p>
        </w:tc>
        <w:tc>
          <w:tcPr>
            <w:tcW w:type="dxa" w:w="1728"/>
          </w:tcPr>
          <w:p>
            <w:r>
              <w:rPr>
                <w:rFonts w:ascii="Calibri" w:hAnsi="Calibri"/>
                <w:sz w:val="22"/>
              </w:rPr>
              <w:t>3.8%</w:t>
            </w:r>
          </w:p>
        </w:tc>
        <w:tc>
          <w:tcPr>
            <w:tcW w:type="dxa" w:w="1728"/>
          </w:tcPr>
          <w:p>
            <w:r>
              <w:rPr>
                <w:rFonts w:ascii="Calibri" w:hAnsi="Calibri"/>
                <w:sz w:val="22"/>
              </w:rPr>
              <w:t>↑ Raised at Q1 print; consensus above guidance midpoint (3.15%)</w:t>
            </w:r>
          </w:p>
        </w:tc>
      </w:tr>
      <w:tr>
        <w:tc>
          <w:tcPr>
            <w:tcW w:type="dxa" w:w="1728"/>
          </w:tcPr>
          <w:p>
            <w:r>
              <w:rPr>
                <w:rFonts w:ascii="Calibri" w:hAnsi="Calibri"/>
                <w:sz w:val="22"/>
              </w:rPr>
              <w:t>FY 2026 Credit Loss Assumption</w:t>
            </w:r>
          </w:p>
        </w:tc>
        <w:tc>
          <w:tcPr>
            <w:tcW w:type="dxa" w:w="1728"/>
          </w:tcPr>
          <w:p>
            <w:r>
              <w:rPr>
                <w:rFonts w:ascii="Calibri" w:hAnsi="Calibri"/>
                <w:sz w:val="22"/>
              </w:rPr>
              <w:t>65–90 bps (tightened from 75–100 bps)</w:t>
            </w:r>
          </w:p>
        </w:tc>
        <w:tc>
          <w:tcPr>
            <w:tcW w:type="dxa" w:w="1728"/>
          </w:tcPr>
          <w:p>
            <w:r>
              <w:rPr>
                <w:rFonts w:ascii="Calibri" w:hAnsi="Calibri"/>
                <w:sz w:val="22"/>
              </w:rPr>
              <w:t>Unchanged</w:t>
            </w:r>
          </w:p>
        </w:tc>
        <w:tc>
          <w:tcPr>
            <w:tcW w:type="dxa" w:w="1728"/>
          </w:tcPr>
          <w:p>
            <w:r>
              <w:rPr>
                <w:rFonts w:ascii="Calibri" w:hAnsi="Calibri"/>
                <w:sz w:val="22"/>
              </w:rPr>
              <w:t>N/A — not tracked in VA</w:t>
            </w:r>
          </w:p>
        </w:tc>
        <w:tc>
          <w:tcPr>
            <w:tcW w:type="dxa" w:w="1728"/>
          </w:tcPr>
          <w:p>
            <w:r>
              <w:rPr>
                <w:rFonts w:ascii="Calibri" w:hAnsi="Calibri"/>
                <w:sz w:val="22"/>
              </w:rPr>
              <w:t>↓ Improved; Q1 actual was 52 bps, well below even the new low end</w:t>
            </w:r>
          </w:p>
        </w:tc>
      </w:tr>
      <w:tr>
        <w:tc>
          <w:tcPr>
            <w:tcW w:type="dxa" w:w="1728"/>
          </w:tcPr>
          <w:p>
            <w:r>
              <w:rPr>
                <w:rFonts w:ascii="Calibri" w:hAnsi="Calibri"/>
                <w:sz w:val="22"/>
              </w:rPr>
              <w:t>SNO Pipeline 2026 Commencements</w:t>
            </w:r>
          </w:p>
        </w:tc>
        <w:tc>
          <w:tcPr>
            <w:tcW w:type="dxa" w:w="1728"/>
          </w:tcPr>
          <w:p>
            <w:r>
              <w:rPr>
                <w:rFonts w:ascii="Calibri" w:hAnsi="Calibri"/>
                <w:sz w:val="22"/>
              </w:rPr>
              <w:t>$31M projected cash flow rent (up from $28.5M budget)</w:t>
            </w:r>
          </w:p>
        </w:tc>
        <w:tc>
          <w:tcPr>
            <w:tcW w:type="dxa" w:w="1728"/>
          </w:tcPr>
          <w:p>
            <w:r>
              <w:rPr>
                <w:rFonts w:ascii="Calibri" w:hAnsi="Calibri"/>
                <w:sz w:val="22"/>
              </w:rPr>
              <w:t>Unchanged</w:t>
            </w:r>
          </w:p>
        </w:tc>
        <w:tc>
          <w:tcPr>
            <w:tcW w:type="dxa" w:w="1728"/>
          </w:tcPr>
          <w:p>
            <w:r>
              <w:rPr>
                <w:rFonts w:ascii="Calibri" w:hAnsi="Calibri"/>
                <w:sz w:val="22"/>
              </w:rPr>
              <w:t>N/A</w:t>
            </w:r>
          </w:p>
        </w:tc>
        <w:tc>
          <w:tcPr>
            <w:tcW w:type="dxa" w:w="1728"/>
          </w:tcPr>
          <w:p>
            <w:r>
              <w:rPr>
                <w:rFonts w:ascii="Calibri" w:hAnsi="Calibri"/>
                <w:sz w:val="22"/>
              </w:rPr>
              <w:t>↑ Raised at Q1 print; $13M from Q1 commencements, $18M+ from Q2–Q4</w:t>
            </w:r>
          </w:p>
        </w:tc>
      </w:tr>
      <w:tr>
        <w:tc>
          <w:tcPr>
            <w:tcW w:type="dxa" w:w="1728"/>
          </w:tcPr>
          <w:p>
            <w:r>
              <w:rPr>
                <w:rFonts w:ascii="Calibri" w:hAnsi="Calibri"/>
                <w:sz w:val="22"/>
              </w:rPr>
              <w:t>FY 2026 Total Revenue</w:t>
            </w:r>
          </w:p>
        </w:tc>
        <w:tc>
          <w:tcPr>
            <w:tcW w:type="dxa" w:w="1728"/>
          </w:tcPr>
          <w:p>
            <w:r>
              <w:rPr>
                <w:rFonts w:ascii="Calibri" w:hAnsi="Calibri"/>
                <w:sz w:val="22"/>
              </w:rPr>
              <w:t>No explicit quarterly guidance; FY implied ~$2.20B</w:t>
            </w:r>
          </w:p>
        </w:tc>
        <w:tc>
          <w:tcPr>
            <w:tcW w:type="dxa" w:w="1728"/>
          </w:tcPr>
          <w:p>
            <w:r>
              <w:rPr>
                <w:rFonts w:ascii="Calibri" w:hAnsi="Calibri"/>
                <w:sz w:val="22"/>
              </w:rPr>
              <w:t>Unchanged</w:t>
            </w:r>
          </w:p>
        </w:tc>
        <w:tc>
          <w:tcPr>
            <w:tcW w:type="dxa" w:w="1728"/>
          </w:tcPr>
          <w:p>
            <w:r>
              <w:rPr>
                <w:rFonts w:ascii="Calibri" w:hAnsi="Calibri"/>
                <w:sz w:val="22"/>
              </w:rPr>
              <w:t>$2.206B</w:t>
            </w:r>
          </w:p>
        </w:tc>
        <w:tc>
          <w:tcPr>
            <w:tcW w:type="dxa" w:w="1728"/>
          </w:tcPr>
          <w:p>
            <w:r>
              <w:rPr>
                <w:rFonts w:ascii="Calibri" w:hAnsi="Calibri"/>
                <w:sz w:val="22"/>
              </w:rPr>
              <w:t>Consensus slightly above implied FY range</w:t>
            </w:r>
          </w:p>
        </w:tc>
      </w:tr>
    </w:tbl>
    <w:p>
      <w:r>
        <w:rPr>
          <w:rFonts w:ascii="Calibri" w:hAnsi="Calibri"/>
          <w:color w:val="525866"/>
          <w:sz w:val="22"/>
        </w:rPr>
        <w:t>Management tone since Q1 earnings has been consistently confident: CEO Conor Flynn highlighted the record SNO pipeline, best-ever tenant credit profile, and accelerating SNO commencements as the primary growth drivers for the remainder of 2026. The June 15 issuance of $600M in 3.50% Exchangeable Senior Notes due 2031 was a proactive capital markets action to address 2026 debt maturities at favorable spreads, consistent with management's stated strategy of leveraging the company's A-minus rating advantage.</w:t>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essentially stable since the Q1 print — Q2 Core FFO consensus moved only ~$0.0003 lower and FY 2026 Core FFO moved ~$0.007 lower — suggesting the street is tracking guidance rather than diverging; the gap between consensus and guidance midpoint is narrow, representing neither meaningful risk nor cushion.</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(May 7, 2026 — ~5 Days Post Q1 Print)</w:t>
            </w:r>
          </w:p>
        </w:tc>
        <w:tc>
          <w:tcPr>
            <w:tcW w:type="dxa" w:w="1080"/>
            <w:shd w:val="clear" w:color="auto" w:fill="3B4259"/>
          </w:tcPr>
          <w:p>
            <w:r>
              <w:rPr>
                <w:rFonts w:ascii="Calibri" w:hAnsi="Calibri"/>
                <w:b/>
                <w:color w:val="FFFFFF"/>
                <w:sz w:val="22"/>
              </w:rPr>
              <w:t>Current Consensus (Aug 3,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 (%)</w:t>
            </w:r>
          </w:p>
        </w:tc>
      </w:tr>
      <w:tr>
        <w:tc>
          <w:tcPr>
            <w:tcW w:type="dxa" w:w="1080"/>
          </w:tcPr>
          <w:p>
            <w:r>
              <w:rPr>
                <w:rFonts w:ascii="Calibri" w:hAnsi="Calibri"/>
                <w:sz w:val="22"/>
              </w:rPr>
              <w:t>Core FFO/Share — Q2 2026</w:t>
            </w:r>
          </w:p>
        </w:tc>
        <w:tc>
          <w:tcPr>
            <w:tcW w:type="dxa" w:w="1080"/>
          </w:tcPr>
          <w:p>
            <w:r>
              <w:rPr>
                <w:rFonts w:ascii="Calibri" w:hAnsi="Calibri"/>
                <w:sz w:val="22"/>
              </w:rPr>
              <w:t>$0.4548</w:t>
            </w:r>
          </w:p>
        </w:tc>
        <w:tc>
          <w:tcPr>
            <w:tcW w:type="dxa" w:w="1080"/>
          </w:tcPr>
          <w:p>
            <w:r>
              <w:rPr>
                <w:rFonts w:ascii="Calibri" w:hAnsi="Calibri"/>
                <w:sz w:val="22"/>
              </w:rPr>
              <w:t>$0.4545</w:t>
            </w:r>
          </w:p>
        </w:tc>
        <w:tc>
          <w:tcPr>
            <w:tcW w:type="dxa" w:w="1080"/>
          </w:tcPr>
          <w:p>
            <w:r>
              <w:rPr>
                <w:rFonts w:ascii="Calibri" w:hAnsi="Calibri"/>
                <w:sz w:val="22"/>
              </w:rPr>
              <w:t>-0.1%</w:t>
            </w:r>
          </w:p>
        </w:tc>
        <w:tc>
          <w:tcPr>
            <w:tcW w:type="dxa" w:w="1080"/>
          </w:tcPr>
          <w:p>
            <w:r>
              <w:rPr>
                <w:rFonts w:ascii="Calibri" w:hAnsi="Calibri"/>
                <w:sz w:val="22"/>
              </w:rPr>
              <w:t>No specific Q2 guidance</w:t>
            </w:r>
          </w:p>
        </w:tc>
        <w:tc>
          <w:tcPr>
            <w:tcW w:type="dxa" w:w="1080"/>
          </w:tcPr>
          <w:p>
            <w:r>
              <w:rPr>
                <w:rFonts w:ascii="Calibri" w:hAnsi="Calibri"/>
                <w:sz w:val="22"/>
              </w:rPr>
              <w:t>No specific Q2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Core FFO/Share — FY 2026</w:t>
            </w:r>
          </w:p>
        </w:tc>
        <w:tc>
          <w:tcPr>
            <w:tcW w:type="dxa" w:w="1080"/>
          </w:tcPr>
          <w:p>
            <w:r>
              <w:rPr>
                <w:rFonts w:ascii="Calibri" w:hAnsi="Calibri"/>
                <w:sz w:val="22"/>
              </w:rPr>
              <w:t>$1.844</w:t>
            </w:r>
          </w:p>
        </w:tc>
        <w:tc>
          <w:tcPr>
            <w:tcW w:type="dxa" w:w="1080"/>
          </w:tcPr>
          <w:p>
            <w:r>
              <w:rPr>
                <w:rFonts w:ascii="Calibri" w:hAnsi="Calibri"/>
                <w:sz w:val="22"/>
              </w:rPr>
              <w:t>$1.837</w:t>
            </w:r>
          </w:p>
        </w:tc>
        <w:tc>
          <w:tcPr>
            <w:tcW w:type="dxa" w:w="1080"/>
          </w:tcPr>
          <w:p>
            <w:r>
              <w:rPr>
                <w:rFonts w:ascii="Calibri" w:hAnsi="Calibri"/>
                <w:sz w:val="22"/>
              </w:rPr>
              <w:t>-0.4%</w:t>
            </w:r>
          </w:p>
        </w:tc>
        <w:tc>
          <w:tcPr>
            <w:tcW w:type="dxa" w:w="1080"/>
          </w:tcPr>
          <w:p>
            <w:r>
              <w:rPr>
                <w:rFonts w:ascii="Calibri" w:hAnsi="Calibri"/>
                <w:sz w:val="22"/>
              </w:rPr>
              <w:t>$1.80–$1.84 ($1.82 mid)</w:t>
            </w:r>
          </w:p>
        </w:tc>
        <w:tc>
          <w:tcPr>
            <w:tcW w:type="dxa" w:w="1080"/>
          </w:tcPr>
          <w:p>
            <w:r>
              <w:rPr>
                <w:rFonts w:ascii="Calibri" w:hAnsi="Calibri"/>
                <w:sz w:val="22"/>
              </w:rPr>
              <w:t>$1.81–$1.84 ($1.825 mid)</w:t>
            </w:r>
          </w:p>
        </w:tc>
        <w:tc>
          <w:tcPr>
            <w:tcW w:type="dxa" w:w="1080"/>
          </w:tcPr>
          <w:p>
            <w:r>
              <w:rPr>
                <w:rFonts w:ascii="Calibri" w:hAnsi="Calibri"/>
                <w:sz w:val="22"/>
              </w:rPr>
              <w:t>+$0.005 at low end</w:t>
            </w:r>
          </w:p>
        </w:tc>
        <w:tc>
          <w:tcPr>
            <w:tcW w:type="dxa" w:w="1080"/>
          </w:tcPr>
          <w:p>
            <w:r>
              <w:rPr>
                <w:rFonts w:ascii="Calibri" w:hAnsi="Calibri"/>
                <w:sz w:val="22"/>
              </w:rPr>
              <w:t>+0.7% above mid</w:t>
            </w:r>
          </w:p>
        </w:tc>
      </w:tr>
      <w:tr>
        <w:tc>
          <w:tcPr>
            <w:tcW w:type="dxa" w:w="1080"/>
          </w:tcPr>
          <w:p>
            <w:r>
              <w:rPr>
                <w:rFonts w:ascii="Calibri" w:hAnsi="Calibri"/>
                <w:sz w:val="22"/>
              </w:rPr>
              <w:t>FFO/Share — Q2 2026</w:t>
            </w:r>
          </w:p>
        </w:tc>
        <w:tc>
          <w:tcPr>
            <w:tcW w:type="dxa" w:w="1080"/>
          </w:tcPr>
          <w:p>
            <w:r>
              <w:rPr>
                <w:rFonts w:ascii="Calibri" w:hAnsi="Calibri"/>
                <w:sz w:val="22"/>
              </w:rPr>
              <w:t>$0.4542</w:t>
            </w:r>
          </w:p>
        </w:tc>
        <w:tc>
          <w:tcPr>
            <w:tcW w:type="dxa" w:w="1080"/>
          </w:tcPr>
          <w:p>
            <w:r>
              <w:rPr>
                <w:rFonts w:ascii="Calibri" w:hAnsi="Calibri"/>
                <w:sz w:val="22"/>
              </w:rPr>
              <w:t>$0.4542</w:t>
            </w:r>
          </w:p>
        </w:tc>
        <w:tc>
          <w:tcPr>
            <w:tcW w:type="dxa" w:w="1080"/>
          </w:tcPr>
          <w:p>
            <w:r>
              <w:rPr>
                <w:rFonts w:ascii="Calibri" w:hAnsi="Calibri"/>
                <w:sz w:val="22"/>
              </w:rPr>
              <w:t>0.0%</w:t>
            </w:r>
          </w:p>
        </w:tc>
        <w:tc>
          <w:tcPr>
            <w:tcW w:type="dxa" w:w="1080"/>
          </w:tcPr>
          <w:p>
            <w:r>
              <w:rPr>
                <w:rFonts w:ascii="Calibri" w:hAnsi="Calibri"/>
                <w:sz w:val="22"/>
              </w:rPr>
              <w:t>No specific Q2 guidance</w:t>
            </w:r>
          </w:p>
        </w:tc>
        <w:tc>
          <w:tcPr>
            <w:tcW w:type="dxa" w:w="1080"/>
          </w:tcPr>
          <w:p>
            <w:r>
              <w:rPr>
                <w:rFonts w:ascii="Calibri" w:hAnsi="Calibri"/>
                <w:sz w:val="22"/>
              </w:rPr>
              <w:t>No specific Q2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FFO/Share — FY 2026</w:t>
            </w:r>
          </w:p>
        </w:tc>
        <w:tc>
          <w:tcPr>
            <w:tcW w:type="dxa" w:w="1080"/>
          </w:tcPr>
          <w:p>
            <w:r>
              <w:rPr>
                <w:rFonts w:ascii="Calibri" w:hAnsi="Calibri"/>
                <w:sz w:val="22"/>
              </w:rPr>
              <w:t>$1.837</w:t>
            </w:r>
          </w:p>
        </w:tc>
        <w:tc>
          <w:tcPr>
            <w:tcW w:type="dxa" w:w="1080"/>
          </w:tcPr>
          <w:p>
            <w:r>
              <w:rPr>
                <w:rFonts w:ascii="Calibri" w:hAnsi="Calibri"/>
                <w:sz w:val="22"/>
              </w:rPr>
              <w:t>$1.835</w:t>
            </w:r>
          </w:p>
        </w:tc>
        <w:tc>
          <w:tcPr>
            <w:tcW w:type="dxa" w:w="1080"/>
          </w:tcPr>
          <w:p>
            <w:r>
              <w:rPr>
                <w:rFonts w:ascii="Calibri" w:hAnsi="Calibri"/>
                <w:sz w:val="22"/>
              </w:rPr>
              <w:t>-0.1%</w:t>
            </w:r>
          </w:p>
        </w:tc>
        <w:tc>
          <w:tcPr>
            <w:tcW w:type="dxa" w:w="1080"/>
          </w:tcPr>
          <w:p>
            <w:r>
              <w:rPr>
                <w:rFonts w:ascii="Calibri" w:hAnsi="Calibri"/>
                <w:sz w:val="22"/>
              </w:rPr>
              <w:t>$1.81–$1.84 ($1.825 mid)</w:t>
            </w:r>
          </w:p>
        </w:tc>
        <w:tc>
          <w:tcPr>
            <w:tcW w:type="dxa" w:w="1080"/>
          </w:tcPr>
          <w:p>
            <w:r>
              <w:rPr>
                <w:rFonts w:ascii="Calibri" w:hAnsi="Calibri"/>
                <w:sz w:val="22"/>
              </w:rPr>
              <w:t>$1.81–$1.84 ($1.825 mid)</w:t>
            </w:r>
          </w:p>
        </w:tc>
        <w:tc>
          <w:tcPr>
            <w:tcW w:type="dxa" w:w="1080"/>
          </w:tcPr>
          <w:p>
            <w:r>
              <w:rPr>
                <w:rFonts w:ascii="Calibri" w:hAnsi="Calibri"/>
                <w:sz w:val="22"/>
              </w:rPr>
              <w:t>Unchanged</w:t>
            </w:r>
          </w:p>
        </w:tc>
        <w:tc>
          <w:tcPr>
            <w:tcW w:type="dxa" w:w="1080"/>
          </w:tcPr>
          <w:p>
            <w:r>
              <w:rPr>
                <w:rFonts w:ascii="Calibri" w:hAnsi="Calibri"/>
                <w:sz w:val="22"/>
              </w:rPr>
              <w:t>+0.5% above mid</w:t>
            </w:r>
          </w:p>
        </w:tc>
      </w:tr>
      <w:tr>
        <w:tc>
          <w:tcPr>
            <w:tcW w:type="dxa" w:w="1080"/>
          </w:tcPr>
          <w:p>
            <w:r>
              <w:rPr>
                <w:rFonts w:ascii="Calibri" w:hAnsi="Calibri"/>
                <w:sz w:val="22"/>
              </w:rPr>
              <w:t>Same-Site NOI Growth — Q2 2026</w:t>
            </w:r>
          </w:p>
        </w:tc>
        <w:tc>
          <w:tcPr>
            <w:tcW w:type="dxa" w:w="1080"/>
          </w:tcPr>
          <w:p>
            <w:r>
              <w:rPr>
                <w:rFonts w:ascii="Calibri" w:hAnsi="Calibri"/>
                <w:sz w:val="22"/>
              </w:rPr>
              <w:t>5.8%</w:t>
            </w:r>
          </w:p>
        </w:tc>
        <w:tc>
          <w:tcPr>
            <w:tcW w:type="dxa" w:w="1080"/>
          </w:tcPr>
          <w:p>
            <w:r>
              <w:rPr>
                <w:rFonts w:ascii="Calibri" w:hAnsi="Calibri"/>
                <w:sz w:val="22"/>
              </w:rPr>
              <w:t>3.9%</w:t>
            </w:r>
          </w:p>
        </w:tc>
        <w:tc>
          <w:tcPr>
            <w:tcW w:type="dxa" w:w="1080"/>
          </w:tcPr>
          <w:p>
            <w:r>
              <w:rPr>
                <w:rFonts w:ascii="Calibri" w:hAnsi="Calibri"/>
                <w:sz w:val="22"/>
              </w:rPr>
              <w:t>-190 bps</w:t>
            </w:r>
          </w:p>
        </w:tc>
        <w:tc>
          <w:tcPr>
            <w:tcW w:type="dxa" w:w="1080"/>
          </w:tcPr>
          <w:p>
            <w:r>
              <w:rPr>
                <w:rFonts w:ascii="Calibri" w:hAnsi="Calibri"/>
                <w:sz w:val="22"/>
              </w:rPr>
              <w:t>No specific Q2 guidance</w:t>
            </w:r>
          </w:p>
        </w:tc>
        <w:tc>
          <w:tcPr>
            <w:tcW w:type="dxa" w:w="1080"/>
          </w:tcPr>
          <w:p>
            <w:r>
              <w:rPr>
                <w:rFonts w:ascii="Calibri" w:hAnsi="Calibri"/>
                <w:sz w:val="22"/>
              </w:rPr>
              <w:t>No specific Q2 guidance</w:t>
            </w:r>
          </w:p>
        </w:tc>
        <w:tc>
          <w:tcPr>
            <w:tcW w:type="dxa" w:w="1080"/>
          </w:tcPr>
          <w:p>
            <w:r>
              <w:rPr>
                <w:rFonts w:ascii="Calibri" w:hAnsi="Calibri"/>
                <w:sz w:val="22"/>
              </w:rPr>
              <w:t>N/A</w:t>
            </w:r>
          </w:p>
        </w:tc>
        <w:tc>
          <w:tcPr>
            <w:tcW w:type="dxa" w:w="1080"/>
          </w:tcPr>
          <w:p>
            <w:r>
              <w:rPr>
                <w:rFonts w:ascii="Calibri" w:hAnsi="Calibri"/>
                <w:sz w:val="22"/>
              </w:rPr>
              <w:t>+75 bps above FY mid</w:t>
            </w:r>
          </w:p>
        </w:tc>
      </w:tr>
      <w:tr>
        <w:tc>
          <w:tcPr>
            <w:tcW w:type="dxa" w:w="1080"/>
          </w:tcPr>
          <w:p>
            <w:r>
              <w:rPr>
                <w:rFonts w:ascii="Calibri" w:hAnsi="Calibri"/>
                <w:sz w:val="22"/>
              </w:rPr>
              <w:t>Same-Site NOI Growth — FY 2026</w:t>
            </w:r>
          </w:p>
        </w:tc>
        <w:tc>
          <w:tcPr>
            <w:tcW w:type="dxa" w:w="1080"/>
          </w:tcPr>
          <w:p>
            <w:r>
              <w:rPr>
                <w:rFonts w:ascii="Calibri" w:hAnsi="Calibri"/>
                <w:sz w:val="22"/>
              </w:rPr>
              <w:t>4.9%</w:t>
            </w:r>
          </w:p>
        </w:tc>
        <w:tc>
          <w:tcPr>
            <w:tcW w:type="dxa" w:w="1080"/>
          </w:tcPr>
          <w:p>
            <w:r>
              <w:rPr>
                <w:rFonts w:ascii="Calibri" w:hAnsi="Calibri"/>
                <w:sz w:val="22"/>
              </w:rPr>
              <w:t>3.8%</w:t>
            </w:r>
          </w:p>
        </w:tc>
        <w:tc>
          <w:tcPr>
            <w:tcW w:type="dxa" w:w="1080"/>
          </w:tcPr>
          <w:p>
            <w:r>
              <w:rPr>
                <w:rFonts w:ascii="Calibri" w:hAnsi="Calibri"/>
                <w:sz w:val="22"/>
              </w:rPr>
              <w:t>-110 bps</w:t>
            </w:r>
          </w:p>
        </w:tc>
        <w:tc>
          <w:tcPr>
            <w:tcW w:type="dxa" w:w="1080"/>
          </w:tcPr>
          <w:p>
            <w:r>
              <w:rPr>
                <w:rFonts w:ascii="Calibri" w:hAnsi="Calibri"/>
                <w:sz w:val="22"/>
              </w:rPr>
              <w:t>2.5%–3.5% (3.0% mid)</w:t>
            </w:r>
          </w:p>
        </w:tc>
        <w:tc>
          <w:tcPr>
            <w:tcW w:type="dxa" w:w="1080"/>
          </w:tcPr>
          <w:p>
            <w:r>
              <w:rPr>
                <w:rFonts w:ascii="Calibri" w:hAnsi="Calibri"/>
                <w:sz w:val="22"/>
              </w:rPr>
              <w:t>2.8%–3.5% (3.15% mid)</w:t>
            </w:r>
          </w:p>
        </w:tc>
        <w:tc>
          <w:tcPr>
            <w:tcW w:type="dxa" w:w="1080"/>
          </w:tcPr>
          <w:p>
            <w:r>
              <w:rPr>
                <w:rFonts w:ascii="Calibri" w:hAnsi="Calibri"/>
                <w:sz w:val="22"/>
              </w:rPr>
              <w:t>+15 bps at mid</w:t>
            </w:r>
          </w:p>
        </w:tc>
        <w:tc>
          <w:tcPr>
            <w:tcW w:type="dxa" w:w="1080"/>
          </w:tcPr>
          <w:p>
            <w:r>
              <w:rPr>
                <w:rFonts w:ascii="Calibri" w:hAnsi="Calibri"/>
                <w:sz w:val="22"/>
              </w:rPr>
              <w:t>+65 bps above mid</w:t>
            </w:r>
          </w:p>
        </w:tc>
      </w:tr>
      <w:tr>
        <w:tc>
          <w:tcPr>
            <w:tcW w:type="dxa" w:w="1080"/>
          </w:tcPr>
          <w:p>
            <w:r>
              <w:rPr>
                <w:rFonts w:ascii="Calibri" w:hAnsi="Calibri"/>
                <w:sz w:val="22"/>
              </w:rPr>
              <w:t>Total Revenue — Q2 2026</w:t>
            </w:r>
          </w:p>
        </w:tc>
        <w:tc>
          <w:tcPr>
            <w:tcW w:type="dxa" w:w="1080"/>
          </w:tcPr>
          <w:p>
            <w:r>
              <w:rPr>
                <w:rFonts w:ascii="Calibri" w:hAnsi="Calibri"/>
                <w:sz w:val="22"/>
              </w:rPr>
              <w:t>$541.0M</w:t>
            </w:r>
          </w:p>
        </w:tc>
        <w:tc>
          <w:tcPr>
            <w:tcW w:type="dxa" w:w="1080"/>
          </w:tcPr>
          <w:p>
            <w:r>
              <w:rPr>
                <w:rFonts w:ascii="Calibri" w:hAnsi="Calibri"/>
                <w:sz w:val="22"/>
              </w:rPr>
              <w:t>$543.9M</w:t>
            </w:r>
          </w:p>
        </w:tc>
        <w:tc>
          <w:tcPr>
            <w:tcW w:type="dxa" w:w="1080"/>
          </w:tcPr>
          <w:p>
            <w:r>
              <w:rPr>
                <w:rFonts w:ascii="Calibri" w:hAnsi="Calibri"/>
                <w:sz w:val="22"/>
              </w:rPr>
              <w:t>+0.5%</w:t>
            </w:r>
          </w:p>
        </w:tc>
        <w:tc>
          <w:tcPr>
            <w:tcW w:type="dxa" w:w="1080"/>
          </w:tcPr>
          <w:p>
            <w:r>
              <w:rPr>
                <w:rFonts w:ascii="Calibri" w:hAnsi="Calibri"/>
                <w:sz w:val="22"/>
              </w:rPr>
              <w:t>No specific Q2 guidance</w:t>
            </w:r>
          </w:p>
        </w:tc>
        <w:tc>
          <w:tcPr>
            <w:tcW w:type="dxa" w:w="1080"/>
          </w:tcPr>
          <w:p>
            <w:r>
              <w:rPr>
                <w:rFonts w:ascii="Calibri" w:hAnsi="Calibri"/>
                <w:sz w:val="22"/>
              </w:rPr>
              <w:t>No specific Q2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 2026</w:t>
            </w:r>
          </w:p>
        </w:tc>
        <w:tc>
          <w:tcPr>
            <w:tcW w:type="dxa" w:w="1080"/>
          </w:tcPr>
          <w:p>
            <w:r>
              <w:rPr>
                <w:rFonts w:ascii="Calibri" w:hAnsi="Calibri"/>
                <w:sz w:val="22"/>
              </w:rPr>
              <w:t>$2,197.5M</w:t>
            </w:r>
          </w:p>
        </w:tc>
        <w:tc>
          <w:tcPr>
            <w:tcW w:type="dxa" w:w="1080"/>
          </w:tcPr>
          <w:p>
            <w:r>
              <w:rPr>
                <w:rFonts w:ascii="Calibri" w:hAnsi="Calibri"/>
                <w:sz w:val="22"/>
              </w:rPr>
              <w:t>$2,205.9M</w:t>
            </w:r>
          </w:p>
        </w:tc>
        <w:tc>
          <w:tcPr>
            <w:tcW w:type="dxa" w:w="1080"/>
          </w:tcPr>
          <w:p>
            <w:r>
              <w:rPr>
                <w:rFonts w:ascii="Calibri" w:hAnsi="Calibri"/>
                <w:sz w:val="22"/>
              </w:rPr>
              <w:t>+0.4%</w:t>
            </w:r>
          </w:p>
        </w:tc>
        <w:tc>
          <w:tcPr>
            <w:tcW w:type="dxa" w:w="1080"/>
          </w:tcPr>
          <w:p>
            <w:r>
              <w:rPr>
                <w:rFonts w:ascii="Calibri" w:hAnsi="Calibri"/>
                <w:sz w:val="22"/>
              </w:rPr>
              <w:t>No explicit FY revenue guidance</w:t>
            </w:r>
          </w:p>
        </w:tc>
        <w:tc>
          <w:tcPr>
            <w:tcW w:type="dxa" w:w="1080"/>
          </w:tcPr>
          <w:p>
            <w:r>
              <w:rPr>
                <w:rFonts w:ascii="Calibri" w:hAnsi="Calibri"/>
                <w:sz w:val="22"/>
              </w:rPr>
              <w:t>No explicit FY revenue guidance</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i/>
          <w:color w:val="525866"/>
          <w:sz w:val="22"/>
        </w:rPr>
        <w:t xml:space="preserve">Source: Visible Alpha Consensus and Actuals Data. Baseline as of May 7, 2026 (~5 trading days post Q1 print). </w:t>
      </w:r>
      <w:r>
        <w:rPr>
          <w:rFonts w:ascii="Calibri" w:hAnsi="Calibri"/>
          <w:b/>
          <w:color w:val="525866"/>
          <w:sz w:val="22"/>
        </w:rPr>
        <w:t xml:space="preserve">Note: </w:t>
      </w:r>
      <w:r>
        <w:rPr>
          <w:rFonts w:ascii="Calibri" w:hAnsi="Calibri"/>
          <w:color w:val="525866"/>
          <w:sz w:val="22"/>
        </w:rPr>
        <w:t>The same-site NOI growth consensus revision from 5.8% to 3.9% for Q2 2026 reflects a recalibration of stale estimates post-print rather than a deterioration in fundamentals; the current 3.9% consensus is above the FY guidance midpoint and consistent with management's sequential acceleration narrative.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KIM has outperformed both XLRE (+7.5% vs. +1.8%) and the S&amp;P 500 (+7.5% vs. +5.4%) since Q1 earnings, driven by a re-rating of the grocery-anchored REIT thesis and the Wolfe Research upgrade; the move appears sentiment/multiple-driven rather than estimate-revision-driven, as consensus has been essentially flat.</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KIM vs. XLRE (Real Estate ETF) vs. S&amp;P 500 — Indexed to 100 at April 30, 2026 (Q1 2026 Earnings Date). Source: Yahoo Finance / Stock Price Data.</w:t>
      </w:r>
    </w:p>
    <w:p>
      <w:r>
        <w:rPr>
          <w:rFonts w:ascii="Calibri" w:hAnsi="Calibri"/>
          <w:color w:val="525866"/>
          <w:sz w:val="22"/>
        </w:rPr>
        <w:t>KIM rose from $23.64 at the Q1 earnings close (April 30) to $25.41 as of August 4, 2026, a gain of +7.5%. XLRE gained +1.8% over the same period and SPY gained +5.4%. Two material events marked the period: (1) the June 15 issuance of $600M in 3.50% Exchangeable Senior Notes due 2031, which was received positively as it addressed 2026 refinancing headwinds at favorable spreads; and (2) the June 22 Wolfe Research upgrade from Peer Perform to Outperform, which catalyzed a sharp leg higher in the stock (KIM rose from ~$24.24 to $25.19 on June 9 and continued to $25.91 by June 12). The outperformance vs. XLRE is notable given that broader REIT sentiment has been mixed; KIM's relative strength reflects growing institutional conviction in the grocery-anchored open-air format, consistent with management's commentary about private capital (Blackstone, GIC, Norges Bank) expressing high conviction in the sector.</w:t>
      </w:r>
    </w:p>
    <w:p>
      <w:pPr>
        <w:pStyle w:val="Heading2"/>
      </w:pPr>
      <w:r>
        <w:rPr>
          <w:rFonts w:ascii="Calibri" w:hAnsi="Calibri"/>
          <w:b/>
          <w:color w:val="3B4259"/>
          <w:sz w:val="28"/>
        </w:rPr>
        <w:t>6. Peer Commentaries — Read-Through from Q1 2026 Earnings Calls</w:t>
      </w:r>
    </w:p>
    <w:p>
      <w:r>
        <w:rPr>
          <w:rFonts w:ascii="Calibri" w:hAnsi="Calibri"/>
          <w:b/>
          <w:color w:val="525866"/>
          <w:sz w:val="22"/>
        </w:rPr>
        <w:t xml:space="preserve">Key Takeaway: </w:t>
      </w:r>
      <w:r>
        <w:rPr>
          <w:rFonts w:ascii="Calibri" w:hAnsi="Calibri"/>
          <w:color w:val="525866"/>
          <w:sz w:val="22"/>
        </w:rPr>
        <w:t>All five grocery-anchored/open-air shopping center peers reported strong Q1 2026 results and raised or maintained guidance, with universally bullish commentary on leasing demand, tenant health, and SNO pipeline conversion — a strongly positive read-through for KIM's Q2 2026 print.</w:t>
      </w:r>
    </w:p>
    <w:p>
      <w:r>
        <w:rPr>
          <w:rFonts w:ascii="Calibri" w:hAnsi="Calibri"/>
          <w:color w:val="525866"/>
          <w:sz w:val="22"/>
        </w:rPr>
        <w:t>The following commentary is sourced from Q1 2026 earnings calls (reported April 24 – May 1, 2026) of KIM's closest peers. All commentary is forward-looking and pertains to Q2 2026 and the remainder of 2026, making it directly relevant as a read-through for KIM's upcoming Q2 2026 report.</w:t>
      </w:r>
    </w:p>
    <w:p>
      <w:pPr>
        <w:pStyle w:val="Heading3"/>
      </w:pPr>
      <w:r>
        <w:rPr>
          <w:rFonts w:ascii="Calibri" w:hAnsi="Calibri"/>
          <w:b/>
          <w:color w:val="3B4259"/>
          <w:sz w:val="24"/>
        </w:rPr>
        <w:t>Regency Centers (REG) — Q1 2026 Earnings Call (April 30, 2026)</w:t>
      </w:r>
    </w:p>
    <w:p>
      <w:pPr>
        <w:pStyle w:val="ListBullet"/>
        <w:ind w:left="360" w:hanging="360"/>
      </w:pPr>
      <w:r>
        <w:rPr>
          <w:rFonts w:ascii="Calibri" w:hAnsi="Calibri"/>
          <w:b/>
          <w:color w:val="525866"/>
          <w:sz w:val="22"/>
        </w:rPr>
        <w:t>Q2 2026 same-property NOI expected to fall below the full-year guidance range</w:t>
      </w:r>
      <w:r>
        <w:rPr>
          <w:rFonts w:ascii="Calibri" w:hAnsi="Calibri"/>
          <w:color w:val="525866"/>
          <w:sz w:val="22"/>
        </w:rPr>
        <w:t xml:space="preserve"> due to a tough comp from last year's favorable expense reconciliation — a known headwind that is also relevant for KIM. Full-year same-property NOI guidance maintained at 3.25%–3.75%.</w:t>
      </w:r>
    </w:p>
    <w:p>
      <w:pPr>
        <w:pStyle w:val="ListBullet"/>
        <w:ind w:left="360" w:hanging="360"/>
      </w:pPr>
      <w:r>
        <w:rPr>
          <w:rFonts w:ascii="Calibri" w:hAnsi="Calibri"/>
          <w:i/>
          <w:color w:val="525866"/>
          <w:sz w:val="22"/>
        </w:rPr>
        <w:t>Leasing demand described as "robust across nearly all categories and regions," with same-property percent leased approaching 97% — a seasonally unusual Q1 uptick that "speaks to the strength of the demand."</w:t>
      </w:r>
    </w:p>
    <w:p>
      <w:pPr>
        <w:pStyle w:val="ListBullet"/>
        <w:ind w:left="360" w:hanging="360"/>
      </w:pPr>
      <w:r>
        <w:rPr>
          <w:rFonts w:ascii="Calibri" w:hAnsi="Calibri"/>
          <w:b/>
          <w:color w:val="525866"/>
          <w:sz w:val="22"/>
        </w:rPr>
        <w:t>SNO pipeline represents ~$42M of incremental base rent</w:t>
      </w:r>
      <w:r>
        <w:rPr>
          <w:rFonts w:ascii="Calibri" w:hAnsi="Calibri"/>
          <w:color w:val="525866"/>
          <w:sz w:val="22"/>
        </w:rPr>
        <w:t>; management expects to "shrink the gap between leased and commenced" through 2026, driving "outsized base rent growth" — directly parallel to KIM's $77M SNO pipeline narrative.</w:t>
      </w:r>
    </w:p>
    <w:p>
      <w:pPr>
        <w:pStyle w:val="ListBullet"/>
        <w:ind w:left="360" w:hanging="360"/>
      </w:pPr>
      <w:r>
        <w:rPr>
          <w:rFonts w:ascii="Calibri" w:hAnsi="Calibri"/>
          <w:b/>
          <w:color w:val="525866"/>
          <w:sz w:val="22"/>
        </w:rPr>
        <w:t xml:space="preserve">Tenant health: </w:t>
      </w:r>
      <w:r>
        <w:rPr>
          <w:rFonts w:ascii="Calibri" w:hAnsi="Calibri"/>
          <w:color w:val="525866"/>
          <w:sz w:val="22"/>
        </w:rPr>
        <w:t>Foot traffic up 2.3% in Q1 and 3% in April despite higher fuel prices; tenant sales "remain healthy" and collections "near record lows." Grocers, restaurants, health/wellness, and off-price retailers cited as most active.</w:t>
      </w:r>
    </w:p>
    <w:p>
      <w:pPr>
        <w:pStyle w:val="ListBullet"/>
        <w:ind w:left="360" w:hanging="360"/>
      </w:pPr>
      <w:r>
        <w:rPr>
          <w:rFonts w:ascii="Calibri" w:hAnsi="Calibri"/>
          <w:b/>
          <w:color w:val="525866"/>
          <w:sz w:val="22"/>
        </w:rPr>
        <w:t>GAAP re-leasing spreads "near a record high"</w:t>
      </w:r>
      <w:r>
        <w:rPr>
          <w:rFonts w:ascii="Calibri" w:hAnsi="Calibri"/>
          <w:color w:val="525866"/>
          <w:sz w:val="22"/>
        </w:rPr>
        <w:t xml:space="preserve"> in Q1; 90% of new shop leases had 3%+ embedded rent steps, with 25% at 4%+. Total NOI growth expected "north of 6%" including development deliveries.</w:t>
      </w:r>
    </w:p>
    <w:p>
      <w:pPr>
        <w:pStyle w:val="ListBullet"/>
        <w:ind w:left="360" w:hanging="360"/>
      </w:pPr>
      <w:r>
        <w:rPr>
          <w:rFonts w:ascii="Calibri" w:hAnsi="Calibri"/>
          <w:b/>
          <w:color w:val="525866"/>
          <w:sz w:val="22"/>
        </w:rPr>
        <w:t xml:space="preserve">Read-through for KIM: </w:t>
      </w:r>
      <w:r>
        <w:rPr>
          <w:rFonts w:ascii="Calibri" w:hAnsi="Calibri"/>
          <w:color w:val="525866"/>
          <w:sz w:val="22"/>
        </w:rPr>
        <w:t>REG's Q2 NOI dip warning (expense comp headwind) is a potential watch item for KIM as well. The broader demand and leasing spread data is strongly positive.</w:t>
      </w:r>
    </w:p>
    <w:p>
      <w:pPr>
        <w:pStyle w:val="Heading3"/>
      </w:pPr>
      <w:r>
        <w:rPr>
          <w:rFonts w:ascii="Calibri" w:hAnsi="Calibri"/>
          <w:b/>
          <w:color w:val="3B4259"/>
          <w:sz w:val="24"/>
        </w:rPr>
        <w:t>Brixmor Property Group (BRX) — Q1 2026 Earnings Call (April 28, 2026)</w:t>
      </w:r>
    </w:p>
    <w:p>
      <w:pPr>
        <w:pStyle w:val="ListBullet"/>
        <w:ind w:left="360" w:hanging="360"/>
      </w:pPr>
      <w:r>
        <w:rPr>
          <w:rFonts w:ascii="Calibri" w:hAnsi="Calibri"/>
          <w:b/>
          <w:color w:val="525866"/>
          <w:sz w:val="22"/>
        </w:rPr>
        <w:t>Raised same-property NOI growth guidance to 4.75%–5.5%</w:t>
      </w:r>
      <w:r>
        <w:rPr>
          <w:rFonts w:ascii="Calibri" w:hAnsi="Calibri"/>
          <w:color w:val="525866"/>
          <w:sz w:val="22"/>
        </w:rPr>
        <w:t xml:space="preserve"> (from prior range) and FFO guidance to $2.34–$2.37/share — the most aggressive guidance raise among peers, a positive read-through for sector fundamentals.</w:t>
      </w:r>
    </w:p>
    <w:p>
      <w:pPr>
        <w:pStyle w:val="ListBullet"/>
        <w:ind w:left="360" w:hanging="360"/>
      </w:pPr>
      <w:r>
        <w:rPr>
          <w:rFonts w:ascii="Calibri" w:hAnsi="Calibri"/>
          <w:b/>
          <w:color w:val="525866"/>
          <w:sz w:val="22"/>
        </w:rPr>
        <w:t>Q2 2026 occupancy headwinds expected</w:t>
      </w:r>
      <w:r>
        <w:rPr>
          <w:rFonts w:ascii="Calibri" w:hAnsi="Calibri"/>
          <w:color w:val="525866"/>
          <w:sz w:val="22"/>
        </w:rPr>
        <w:t xml:space="preserve"> from "a handful of anticipated box recaptures," but management characterized the impact as "fairly modest" and expects a "return to a growth trajectory in the second half." These recaptures are framed as mark-to-market opportunities.</w:t>
      </w:r>
    </w:p>
    <w:p>
      <w:pPr>
        <w:pStyle w:val="ListBullet"/>
        <w:ind w:left="360" w:hanging="360"/>
      </w:pPr>
      <w:r>
        <w:rPr>
          <w:rFonts w:ascii="Calibri" w:hAnsi="Calibri"/>
          <w:b/>
          <w:color w:val="525866"/>
          <w:sz w:val="22"/>
        </w:rPr>
        <w:t>SNO pipeline at $67M (up 10% YoY)</w:t>
      </w:r>
      <w:r>
        <w:rPr>
          <w:rFonts w:ascii="Calibri" w:hAnsi="Calibri"/>
          <w:color w:val="525866"/>
          <w:sz w:val="22"/>
        </w:rPr>
        <w:t xml:space="preserve"> at a record $24/sq ft, 25% above in-place ABR; ~$38M expected to commence ratably through 2026. Directly validates KIM's SNO conversion thesis.</w:t>
      </w:r>
    </w:p>
    <w:p>
      <w:pPr>
        <w:pStyle w:val="ListBullet"/>
        <w:ind w:left="360" w:hanging="360"/>
      </w:pPr>
      <w:r>
        <w:rPr>
          <w:rFonts w:ascii="Calibri" w:hAnsi="Calibri"/>
          <w:b/>
          <w:color w:val="525866"/>
          <w:sz w:val="22"/>
        </w:rPr>
        <w:t>Tenant credit quality described as "the strongest in our company's history"</w:t>
      </w:r>
      <w:r>
        <w:rPr>
          <w:rFonts w:ascii="Calibri" w:hAnsi="Calibri"/>
          <w:color w:val="525866"/>
          <w:sz w:val="22"/>
        </w:rPr>
        <w:t>; move-outs (ex-bankruptcies) down 10% YoY; revenues deemed uncollectible contributed 30 bps to growth. Full-year bad debt guidance maintained at 75–100 bps.</w:t>
      </w:r>
    </w:p>
    <w:p>
      <w:pPr>
        <w:pStyle w:val="ListBullet"/>
        <w:ind w:left="360" w:hanging="360"/>
      </w:pPr>
      <w:r>
        <w:rPr>
          <w:rFonts w:ascii="Calibri" w:hAnsi="Calibri"/>
          <w:b/>
          <w:color w:val="525866"/>
          <w:sz w:val="22"/>
        </w:rPr>
        <w:t>Consumer traffic up 3.5% YoY</w:t>
      </w:r>
      <w:r>
        <w:rPr>
          <w:rFonts w:ascii="Calibri" w:hAnsi="Calibri"/>
          <w:color w:val="525866"/>
          <w:sz w:val="22"/>
        </w:rPr>
        <w:t xml:space="preserve"> with 220M+ visits in Q1; "consumers are adapting versus collapsing" with "still decent wage growth, still a strong job market."</w:t>
      </w:r>
    </w:p>
    <w:p>
      <w:pPr>
        <w:pStyle w:val="ListBullet"/>
        <w:ind w:left="360" w:hanging="360"/>
      </w:pPr>
      <w:r>
        <w:rPr>
          <w:rFonts w:ascii="Calibri" w:hAnsi="Calibri"/>
          <w:b/>
          <w:color w:val="525866"/>
          <w:sz w:val="22"/>
        </w:rPr>
        <w:t xml:space="preserve">Read-through for KIM: </w:t>
      </w:r>
      <w:r>
        <w:rPr>
          <w:rFonts w:ascii="Calibri" w:hAnsi="Calibri"/>
          <w:color w:val="525866"/>
          <w:sz w:val="22"/>
        </w:rPr>
        <w:t>BRX's guidance raise and strong credit quality data are the most direct positive read-through. The box recapture headwind in Q2 is a sector-wide dynamic KIM may also face, though KIM's credit loss guidance (65–90 bps) is already more favorable than BRX's 75–100 bps.</w:t>
      </w:r>
    </w:p>
    <w:p>
      <w:pPr>
        <w:pStyle w:val="Heading3"/>
      </w:pPr>
      <w:r>
        <w:rPr>
          <w:rFonts w:ascii="Calibri" w:hAnsi="Calibri"/>
          <w:b/>
          <w:color w:val="3B4259"/>
          <w:sz w:val="24"/>
        </w:rPr>
        <w:t>Kite Realty Group Trust (KRG) — Q1 2026 Earnings Call (April 29, 2026)</w:t>
      </w:r>
    </w:p>
    <w:p>
      <w:pPr>
        <w:pStyle w:val="ListBullet"/>
        <w:ind w:left="360" w:hanging="360"/>
      </w:pPr>
      <w:r>
        <w:rPr>
          <w:rFonts w:ascii="Calibri" w:hAnsi="Calibri"/>
          <w:b/>
          <w:color w:val="525866"/>
          <w:sz w:val="22"/>
        </w:rPr>
        <w:t>Q2 2026 same-property NOI expected to moderate</w:t>
      </w:r>
      <w:r>
        <w:rPr>
          <w:rFonts w:ascii="Calibri" w:hAnsi="Calibri"/>
          <w:color w:val="525866"/>
          <w:sz w:val="22"/>
        </w:rPr>
        <w:t xml:space="preserve"> before "reaccelerating to the back half of the year as rents from our large signed-not-open pipeline begin to commence" — identical cadence to KIM's guidance.</w:t>
      </w:r>
    </w:p>
    <w:p>
      <w:pPr>
        <w:pStyle w:val="ListBullet"/>
        <w:ind w:left="360" w:hanging="360"/>
      </w:pPr>
      <w:r>
        <w:rPr>
          <w:rFonts w:ascii="Calibri" w:hAnsi="Calibri"/>
          <w:b/>
          <w:color w:val="525866"/>
          <w:sz w:val="22"/>
        </w:rPr>
        <w:t>Raised full-year same-property NOI guidance by 25 bps at the midpoint</w:t>
      </w:r>
      <w:r>
        <w:rPr>
          <w:rFonts w:ascii="Calibri" w:hAnsi="Calibri"/>
          <w:color w:val="525866"/>
          <w:sz w:val="22"/>
        </w:rPr>
        <w:t xml:space="preserve"> to 2.5%–3.5%; Q1 beat driven by higher-than-anticipated average rent, lower bad debt, and a real estate tax reserve reversal.</w:t>
      </w:r>
    </w:p>
    <w:p>
      <w:pPr>
        <w:pStyle w:val="ListBullet"/>
        <w:ind w:left="360" w:hanging="360"/>
      </w:pPr>
      <w:r>
        <w:rPr>
          <w:rFonts w:ascii="Calibri" w:hAnsi="Calibri"/>
          <w:b/>
          <w:color w:val="525866"/>
          <w:sz w:val="22"/>
        </w:rPr>
        <w:t>SNO pipeline at ~$36M of NOI</w:t>
      </w:r>
      <w:r>
        <w:rPr>
          <w:rFonts w:ascii="Calibri" w:hAnsi="Calibri"/>
          <w:color w:val="525866"/>
          <w:sz w:val="22"/>
        </w:rPr>
        <w:t xml:space="preserve"> with average ABR of $28/sq ft (vs. portfolio average of ~$23.50), representing a 30 bps leased-to-occupied spread. Only 84% is in the same-store pool, with Legacy West and Loudoun leases outside.</w:t>
      </w:r>
    </w:p>
    <w:p>
      <w:pPr>
        <w:pStyle w:val="ListBullet"/>
        <w:ind w:left="360" w:hanging="360"/>
      </w:pPr>
      <w:r>
        <w:rPr>
          <w:rFonts w:ascii="Calibri" w:hAnsi="Calibri"/>
          <w:b/>
          <w:color w:val="525866"/>
          <w:sz w:val="22"/>
        </w:rPr>
        <w:t>Small shop occupancy at 92%</w:t>
      </w:r>
      <w:r>
        <w:rPr>
          <w:rFonts w:ascii="Calibri" w:hAnsi="Calibri"/>
          <w:color w:val="525866"/>
          <w:sz w:val="22"/>
        </w:rPr>
        <w:t>, 40 bps from historical high; management targets 93%–94% and describes KRG as a "market leader in rent growth in the small-shop space." Embedded rent escalators have risen from 156 bps to 182 bps over two years, targeting 200 bps.</w:t>
      </w:r>
    </w:p>
    <w:p>
      <w:pPr>
        <w:pStyle w:val="ListBullet"/>
        <w:ind w:left="360" w:hanging="360"/>
      </w:pPr>
      <w:r>
        <w:rPr>
          <w:rFonts w:ascii="Calibri" w:hAnsi="Calibri"/>
          <w:b/>
          <w:color w:val="525866"/>
          <w:sz w:val="22"/>
        </w:rPr>
        <w:t>Repurchased 6M shares for ~$152M in Q1</w:t>
      </w:r>
      <w:r>
        <w:rPr>
          <w:rFonts w:ascii="Calibri" w:hAnsi="Calibri"/>
          <w:color w:val="525866"/>
          <w:sz w:val="22"/>
        </w:rPr>
        <w:t xml:space="preserve"> ($400M total since 2025 at avg $23.67); willingness to continue buybacks is a "moving target" dependent on NAV discount.</w:t>
      </w:r>
    </w:p>
    <w:p>
      <w:pPr>
        <w:pStyle w:val="ListBullet"/>
        <w:ind w:left="360" w:hanging="360"/>
      </w:pPr>
      <w:r>
        <w:rPr>
          <w:rFonts w:ascii="Calibri" w:hAnsi="Calibri"/>
          <w:b/>
          <w:color w:val="525866"/>
          <w:sz w:val="22"/>
        </w:rPr>
        <w:t xml:space="preserve">Read-through for KIM: </w:t>
      </w:r>
      <w:r>
        <w:rPr>
          <w:rFonts w:ascii="Calibri" w:hAnsi="Calibri"/>
          <w:color w:val="525866"/>
          <w:sz w:val="22"/>
        </w:rPr>
        <w:t>KRG's Q2 moderation-then-reacceleration cadence is the most direct parallel to KIM's stated trajectory. The small shop occupancy push and escalator improvement are consistent with KIM's own narrative.</w:t>
      </w:r>
    </w:p>
    <w:p>
      <w:pPr>
        <w:pStyle w:val="Heading3"/>
      </w:pPr>
      <w:r>
        <w:rPr>
          <w:rFonts w:ascii="Calibri" w:hAnsi="Calibri"/>
          <w:b/>
          <w:color w:val="3B4259"/>
          <w:sz w:val="24"/>
        </w:rPr>
        <w:t>Phillips Edison &amp; Company (PECO) — Q1 2026 Earnings Call (April 24, 2026)</w:t>
      </w:r>
    </w:p>
    <w:p>
      <w:pPr>
        <w:pStyle w:val="ListBullet"/>
        <w:ind w:left="360" w:hanging="360"/>
      </w:pPr>
      <w:r>
        <w:rPr>
          <w:rFonts w:ascii="Calibri" w:hAnsi="Calibri"/>
          <w:b/>
          <w:color w:val="525866"/>
          <w:sz w:val="22"/>
        </w:rPr>
        <w:t>Raised full-year 2026 guidance</w:t>
      </w:r>
      <w:r>
        <w:rPr>
          <w:rFonts w:ascii="Calibri" w:hAnsi="Calibri"/>
          <w:color w:val="525866"/>
          <w:sz w:val="22"/>
        </w:rPr>
        <w:t>; Nareit FFO/share reflects 5.9% growth over 2025 at midpoint, Core FFO 5.8% growth. Key drivers: strong operating environment, year-to-date acquisitions, and a bond offering at a lower rate than budgeted.</w:t>
      </w:r>
    </w:p>
    <w:p>
      <w:pPr>
        <w:pStyle w:val="ListBullet"/>
        <w:ind w:left="360" w:hanging="360"/>
      </w:pPr>
      <w:r>
        <w:rPr>
          <w:rFonts w:ascii="Calibri" w:hAnsi="Calibri"/>
          <w:b/>
          <w:color w:val="525866"/>
          <w:sz w:val="22"/>
        </w:rPr>
        <w:t>Bad debt came in at ~60 bps in Q1</w:t>
      </w:r>
      <w:r>
        <w:rPr>
          <w:rFonts w:ascii="Calibri" w:hAnsi="Calibri"/>
          <w:color w:val="525866"/>
          <w:sz w:val="22"/>
        </w:rPr>
        <w:t xml:space="preserve"> (near the lower end of guidance); full-year expectation maintained at ~78 bps (in line with 2025). "Absolute count of neighbors we are focused on actually declined this quarter" — a very positive credit signal.</w:t>
      </w:r>
    </w:p>
    <w:p>
      <w:pPr>
        <w:pStyle w:val="ListBullet"/>
        <w:ind w:left="360" w:hanging="360"/>
      </w:pPr>
      <w:r>
        <w:rPr>
          <w:rFonts w:ascii="Calibri" w:hAnsi="Calibri"/>
          <w:b/>
          <w:color w:val="525866"/>
          <w:sz w:val="22"/>
        </w:rPr>
        <w:t>Leasing demand: "high retailer demand with no current signs of slowing"</w:t>
      </w:r>
      <w:r>
        <w:rPr>
          <w:rFonts w:ascii="Calibri" w:hAnsi="Calibri"/>
          <w:color w:val="525866"/>
          <w:sz w:val="22"/>
        </w:rPr>
        <w:t>; comparable renewal spreads of 21.2% and new rent spreads of 36.2% in Q1. "Best renewal pipeline and new leasing pipeline we've seen in the last 6 to 9 months." Approved 28 deals in 9 days.</w:t>
      </w:r>
    </w:p>
    <w:p>
      <w:pPr>
        <w:pStyle w:val="ListBullet"/>
        <w:ind w:left="360" w:hanging="360"/>
      </w:pPr>
      <w:r>
        <w:rPr>
          <w:rFonts w:ascii="Calibri" w:hAnsi="Calibri"/>
          <w:b/>
          <w:color w:val="525866"/>
          <w:sz w:val="22"/>
        </w:rPr>
        <w:t>Lease portfolio occupancy at 97.1%</w:t>
      </w:r>
      <w:r>
        <w:rPr>
          <w:rFonts w:ascii="Calibri" w:hAnsi="Calibri"/>
          <w:color w:val="525866"/>
          <w:sz w:val="22"/>
        </w:rPr>
        <w:t>; anchor occupancy 98.4%, inline 95%. Targeting 100–150 bps of additional inline occupancy through targeted space initiatives.</w:t>
      </w:r>
    </w:p>
    <w:p>
      <w:pPr>
        <w:pStyle w:val="ListBullet"/>
        <w:ind w:left="360" w:hanging="360"/>
      </w:pPr>
      <w:r>
        <w:rPr>
          <w:rFonts w:ascii="Calibri" w:hAnsi="Calibri"/>
          <w:b/>
          <w:color w:val="525866"/>
          <w:sz w:val="22"/>
        </w:rPr>
        <w:t>Reiterated full-year same-center NOI growth guidance of 3%–4%</w:t>
      </w:r>
      <w:r>
        <w:rPr>
          <w:rFonts w:ascii="Calibri" w:hAnsi="Calibri"/>
          <w:color w:val="525866"/>
          <w:sz w:val="22"/>
        </w:rPr>
        <w:t>; long-term target of mid-to-high single-digit Core FFO/share growth. Retailers "looking for new sites in 2026, '27 and '28" at ICSC.</w:t>
      </w:r>
    </w:p>
    <w:p>
      <w:pPr>
        <w:pStyle w:val="ListBullet"/>
        <w:ind w:left="360" w:hanging="360"/>
      </w:pPr>
      <w:r>
        <w:rPr>
          <w:rFonts w:ascii="Calibri" w:hAnsi="Calibri"/>
          <w:b/>
          <w:color w:val="525866"/>
          <w:sz w:val="22"/>
        </w:rPr>
        <w:t xml:space="preserve">Read-through for KIM: </w:t>
      </w:r>
      <w:r>
        <w:rPr>
          <w:rFonts w:ascii="Calibri" w:hAnsi="Calibri"/>
          <w:color w:val="525866"/>
          <w:sz w:val="22"/>
        </w:rPr>
        <w:t>PECO's 60 bps Q1 bad debt (vs. KIM's 52 bps) and "no cracks" tenant health commentary are the strongest positive credit read-through. The leasing spread data (36.2% new, 21.2% renewal) validates KIM's own record new lease rents of ~$29/sq ft.</w:t>
      </w:r>
    </w:p>
    <w:p>
      <w:pPr>
        <w:pStyle w:val="Heading3"/>
      </w:pPr>
      <w:r>
        <w:rPr>
          <w:rFonts w:ascii="Calibri" w:hAnsi="Calibri"/>
          <w:b/>
          <w:color w:val="3B4259"/>
          <w:sz w:val="24"/>
        </w:rPr>
        <w:t>Urban Edge Properties (UE) — Q1 2026 Earnings Call (April 29, 2026)</w:t>
      </w:r>
    </w:p>
    <w:p>
      <w:pPr>
        <w:pStyle w:val="ListBullet"/>
        <w:ind w:left="360" w:hanging="360"/>
      </w:pPr>
      <w:r>
        <w:rPr>
          <w:rFonts w:ascii="Calibri" w:hAnsi="Calibri"/>
          <w:b/>
          <w:color w:val="525866"/>
          <w:sz w:val="22"/>
        </w:rPr>
        <w:t>Raised 2026 FFO as adjusted guidance by $0.01/share on the low end</w:t>
      </w:r>
      <w:r>
        <w:rPr>
          <w:rFonts w:ascii="Calibri" w:hAnsi="Calibri"/>
          <w:color w:val="525866"/>
          <w:sz w:val="22"/>
        </w:rPr>
        <w:t xml:space="preserve"> to $1.48–$1.52 (5% growth at midpoint); same-property NOI guidance raised to 3%–3.75%.</w:t>
      </w:r>
    </w:p>
    <w:p>
      <w:pPr>
        <w:pStyle w:val="ListBullet"/>
        <w:ind w:left="360" w:hanging="360"/>
      </w:pPr>
      <w:r>
        <w:rPr>
          <w:rFonts w:ascii="Calibri" w:hAnsi="Calibri"/>
          <w:b/>
          <w:color w:val="525866"/>
          <w:sz w:val="22"/>
        </w:rPr>
        <w:t>Q2 2026 same-property growth expected to be softer</w:t>
      </w:r>
      <w:r>
        <w:rPr>
          <w:rFonts w:ascii="Calibri" w:hAnsi="Calibri"/>
          <w:color w:val="525866"/>
          <w:sz w:val="22"/>
        </w:rPr>
        <w:t xml:space="preserve"> due to a $1M one-time CAM true-up benefit in Q2 2025 that won't repeat; "same-property growth expected to accelerate in the back half of the year as SNO rents commence."</w:t>
      </w:r>
    </w:p>
    <w:p>
      <w:pPr>
        <w:pStyle w:val="ListBullet"/>
        <w:ind w:left="360" w:hanging="360"/>
      </w:pPr>
      <w:r>
        <w:rPr>
          <w:rFonts w:ascii="Calibri" w:hAnsi="Calibri"/>
          <w:b/>
          <w:color w:val="525866"/>
          <w:sz w:val="22"/>
        </w:rPr>
        <w:t>SNO pipeline at $22M of annual gross rent (~7% of current NOI)</w:t>
      </w:r>
      <w:r>
        <w:rPr>
          <w:rFonts w:ascii="Calibri" w:hAnsi="Calibri"/>
          <w:color w:val="525866"/>
          <w:sz w:val="22"/>
        </w:rPr>
        <w:t>; 90% of remaining 2026 SNO commencements expected in Q3 and Q4. "Strongest anchor leasing market we've seen in a really, really long time."</w:t>
      </w:r>
    </w:p>
    <w:p>
      <w:pPr>
        <w:pStyle w:val="ListBullet"/>
        <w:ind w:left="360" w:hanging="360"/>
      </w:pPr>
      <w:r>
        <w:rPr>
          <w:rFonts w:ascii="Calibri" w:hAnsi="Calibri"/>
          <w:b/>
          <w:color w:val="525866"/>
          <w:sz w:val="22"/>
        </w:rPr>
        <w:t>Leasing pipeline "robust" with record leasing activity expected</w:t>
      </w:r>
      <w:r>
        <w:rPr>
          <w:rFonts w:ascii="Calibri" w:hAnsi="Calibri"/>
          <w:color w:val="525866"/>
          <w:sz w:val="22"/>
        </w:rPr>
        <w:t xml:space="preserve"> and spreads expected to exceed 20%. Tenants engaging earlier in renewal process, giving landlords more leverage. Occupancy targets of 97%–98% by year-end.</w:t>
      </w:r>
    </w:p>
    <w:p>
      <w:pPr>
        <w:pStyle w:val="ListBullet"/>
        <w:ind w:left="360" w:hanging="360"/>
      </w:pPr>
      <w:r>
        <w:rPr>
          <w:rFonts w:ascii="Calibri" w:hAnsi="Calibri"/>
          <w:b/>
          <w:color w:val="525866"/>
          <w:sz w:val="22"/>
        </w:rPr>
        <w:t>Bad debt expected to trend near 75 bps for remainder of year</w:t>
      </w:r>
      <w:r>
        <w:rPr>
          <w:rFonts w:ascii="Calibri" w:hAnsi="Calibri"/>
          <w:color w:val="525866"/>
          <w:sz w:val="22"/>
        </w:rPr>
        <w:t xml:space="preserve"> after an isolated Q1 issue with a Puerto Rico franchise operator (now resolved).</w:t>
      </w:r>
    </w:p>
    <w:p>
      <w:pPr>
        <w:pStyle w:val="ListBullet"/>
        <w:ind w:left="360" w:hanging="360"/>
      </w:pPr>
      <w:r>
        <w:rPr>
          <w:rFonts w:ascii="Calibri" w:hAnsi="Calibri"/>
          <w:b/>
          <w:color w:val="525866"/>
          <w:sz w:val="22"/>
        </w:rPr>
        <w:t xml:space="preserve">Read-through for KIM: </w:t>
      </w:r>
      <w:r>
        <w:rPr>
          <w:rFonts w:ascii="Calibri" w:hAnsi="Calibri"/>
          <w:color w:val="525866"/>
          <w:sz w:val="22"/>
        </w:rPr>
        <w:t>UE's Q2 softness warning (CAM true-up comp) is a sector-wide dynamic. The anchor leasing market commentary and 20%+ spread expectations are directly positive for KIM's leasing narrative.</w:t>
      </w:r>
    </w:p>
    <w:p>
      <w:pPr>
        <w:pStyle w:val="Heading3"/>
      </w:pPr>
      <w:r>
        <w:rPr>
          <w:rFonts w:ascii="Calibri" w:hAnsi="Calibri"/>
          <w:b/>
          <w:color w:val="3B4259"/>
          <w:sz w:val="24"/>
        </w:rPr>
        <w:t>Federal Realty Investment Trust (FRT) — Q1 2026 Earnings Call (May 1, 2026)</w:t>
      </w:r>
    </w:p>
    <w:p>
      <w:pPr>
        <w:pStyle w:val="ListBullet"/>
        <w:ind w:left="360" w:hanging="360"/>
      </w:pPr>
      <w:r>
        <w:rPr>
          <w:rFonts w:ascii="Calibri" w:hAnsi="Calibri"/>
          <w:b/>
          <w:color w:val="525866"/>
          <w:sz w:val="22"/>
        </w:rPr>
        <w:t>Raised full-year FFO guidance to $7.46–$7.55/share</w:t>
      </w:r>
      <w:r>
        <w:rPr>
          <w:rFonts w:ascii="Calibri" w:hAnsi="Calibri"/>
          <w:color w:val="525866"/>
          <w:sz w:val="22"/>
        </w:rPr>
        <w:t xml:space="preserve"> (6.3% Core FFO growth at midpoint); Q2 FFO guided to $1.83–$1.86, with a "little bit of a dip" vs. Q1's $1.88 due to refinancing headwind (~$0.01 drag) and residential lease-up drag.</w:t>
      </w:r>
    </w:p>
    <w:p>
      <w:pPr>
        <w:pStyle w:val="ListBullet"/>
        <w:ind w:left="360" w:hanging="360"/>
      </w:pPr>
      <w:r>
        <w:rPr>
          <w:rFonts w:ascii="Calibri" w:hAnsi="Calibri"/>
          <w:b/>
          <w:color w:val="525866"/>
          <w:sz w:val="22"/>
        </w:rPr>
        <w:t>Same-property NOI growth outlook improved to 3.125%–3.625%</w:t>
      </w:r>
      <w:r>
        <w:rPr>
          <w:rFonts w:ascii="Calibri" w:hAnsi="Calibri"/>
          <w:color w:val="525866"/>
          <w:sz w:val="22"/>
        </w:rPr>
        <w:t>; Q2 and Q3 expected to dip "into the 2s, closer to 2" before a "resurgence back up in Q4 into the 3.5%–4% range." Momentum expected to continue into 2027.</w:t>
      </w:r>
    </w:p>
    <w:p>
      <w:pPr>
        <w:pStyle w:val="ListBullet"/>
        <w:ind w:left="360" w:hanging="360"/>
      </w:pPr>
      <w:r>
        <w:rPr>
          <w:rFonts w:ascii="Calibri" w:hAnsi="Calibri"/>
          <w:b/>
          <w:color w:val="525866"/>
          <w:sz w:val="22"/>
        </w:rPr>
        <w:t>Record Q1 leasing volume</w:t>
      </w:r>
      <w:r>
        <w:rPr>
          <w:rFonts w:ascii="Calibri" w:hAnsi="Calibri"/>
          <w:color w:val="525866"/>
          <w:sz w:val="22"/>
        </w:rPr>
        <w:t xml:space="preserve"> (third-best ever for any quarter); pipeline of 1.7M sq ft under negotiation providing "embedded growth over the next 2 years." Foot traffic up 3% in Q1 and 4% in April.</w:t>
      </w:r>
    </w:p>
    <w:p>
      <w:pPr>
        <w:pStyle w:val="ListBullet"/>
        <w:ind w:left="360" w:hanging="360"/>
      </w:pPr>
      <w:r>
        <w:rPr>
          <w:rFonts w:ascii="Calibri" w:hAnsi="Calibri"/>
          <w:b/>
          <w:color w:val="525866"/>
          <w:sz w:val="22"/>
        </w:rPr>
        <w:t>Credit reserve kept flat at 60–85 bps</w:t>
      </w:r>
      <w:r>
        <w:rPr>
          <w:rFonts w:ascii="Calibri" w:hAnsi="Calibri"/>
          <w:color w:val="525866"/>
          <w:sz w:val="22"/>
        </w:rPr>
        <w:t>; tenant sales healthy across both value-based and full-price/aspirational concepts (Crate &amp; Barrel, Anthropologie, Madewell, Aritzia). Occupancy cost ratios in the 9% range.</w:t>
      </w:r>
    </w:p>
    <w:p>
      <w:pPr>
        <w:pStyle w:val="ListBullet"/>
        <w:ind w:left="360" w:hanging="360"/>
      </w:pPr>
      <w:r>
        <w:rPr>
          <w:rFonts w:ascii="Calibri" w:hAnsi="Calibri"/>
          <w:b/>
          <w:color w:val="525866"/>
          <w:sz w:val="22"/>
        </w:rPr>
        <w:t>Refinancing headwind explicitly flagged</w:t>
      </w:r>
      <w:r>
        <w:rPr>
          <w:rFonts w:ascii="Calibri" w:hAnsi="Calibri"/>
          <w:color w:val="525866"/>
          <w:sz w:val="22"/>
        </w:rPr>
        <w:t>: the 1.25% green bond maturity is a known drag; management will be "opportunistic in either hitting the bond market or the convert market" — directly parallel to KIM's own 2026 refinancing narrative and the June 15 exchangeable notes issuance.</w:t>
      </w:r>
    </w:p>
    <w:p>
      <w:pPr>
        <w:pStyle w:val="ListBullet"/>
        <w:ind w:left="360" w:hanging="360"/>
      </w:pPr>
      <w:r>
        <w:rPr>
          <w:rFonts w:ascii="Calibri" w:hAnsi="Calibri"/>
          <w:b/>
          <w:color w:val="525866"/>
          <w:sz w:val="22"/>
        </w:rPr>
        <w:t xml:space="preserve">Read-through for KIM: </w:t>
      </w:r>
      <w:r>
        <w:rPr>
          <w:rFonts w:ascii="Calibri" w:hAnsi="Calibri"/>
          <w:color w:val="525866"/>
          <w:sz w:val="22"/>
        </w:rPr>
        <w:t>FRT's Q2/Q3 NOI dip (refinancing headwind + residential lease-up) is a partial read-through for KIM's own refinancing headwind in H2 2026. The strong leasing volume and foot traffic data are broadly positive for the sector.</w:t>
      </w:r>
    </w:p>
    <w:p>
      <w:pPr>
        <w:pStyle w:val="Heading3"/>
      </w:pPr>
      <w:r>
        <w:rPr>
          <w:rFonts w:ascii="Calibri" w:hAnsi="Calibri"/>
          <w:b/>
          <w:color w:val="3B4259"/>
          <w:sz w:val="24"/>
        </w:rPr>
        <w:t>Peer Read-Through Summary</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Peer</w:t>
            </w:r>
          </w:p>
        </w:tc>
        <w:tc>
          <w:tcPr>
            <w:tcW w:type="dxa" w:w="1440"/>
            <w:shd w:val="clear" w:color="auto" w:fill="3B4259"/>
          </w:tcPr>
          <w:p>
            <w:r>
              <w:rPr>
                <w:rFonts w:ascii="Calibri" w:hAnsi="Calibri"/>
                <w:b/>
                <w:color w:val="FFFFFF"/>
                <w:sz w:val="22"/>
              </w:rPr>
              <w:t>Guidance Action</w:t>
            </w:r>
          </w:p>
        </w:tc>
        <w:tc>
          <w:tcPr>
            <w:tcW w:type="dxa" w:w="1440"/>
            <w:shd w:val="clear" w:color="auto" w:fill="3B4259"/>
          </w:tcPr>
          <w:p>
            <w:r>
              <w:rPr>
                <w:rFonts w:ascii="Calibri" w:hAnsi="Calibri"/>
                <w:b/>
                <w:color w:val="FFFFFF"/>
                <w:sz w:val="22"/>
              </w:rPr>
              <w:t>Q2 NOI Cadence Signal</w:t>
            </w:r>
          </w:p>
        </w:tc>
        <w:tc>
          <w:tcPr>
            <w:tcW w:type="dxa" w:w="1440"/>
            <w:shd w:val="clear" w:color="auto" w:fill="3B4259"/>
          </w:tcPr>
          <w:p>
            <w:r>
              <w:rPr>
                <w:rFonts w:ascii="Calibri" w:hAnsi="Calibri"/>
                <w:b/>
                <w:color w:val="FFFFFF"/>
                <w:sz w:val="22"/>
              </w:rPr>
              <w:t>Credit / Bad Debt Signal</w:t>
            </w:r>
          </w:p>
        </w:tc>
        <w:tc>
          <w:tcPr>
            <w:tcW w:type="dxa" w:w="1440"/>
            <w:shd w:val="clear" w:color="auto" w:fill="3B4259"/>
          </w:tcPr>
          <w:p>
            <w:r>
              <w:rPr>
                <w:rFonts w:ascii="Calibri" w:hAnsi="Calibri"/>
                <w:b/>
                <w:color w:val="FFFFFF"/>
                <w:sz w:val="22"/>
              </w:rPr>
              <w:t>Leasing Demand Signal</w:t>
            </w:r>
          </w:p>
        </w:tc>
        <w:tc>
          <w:tcPr>
            <w:tcW w:type="dxa" w:w="1440"/>
            <w:shd w:val="clear" w:color="auto" w:fill="3B4259"/>
          </w:tcPr>
          <w:p>
            <w:r>
              <w:rPr>
                <w:rFonts w:ascii="Calibri" w:hAnsi="Calibri"/>
                <w:b/>
                <w:color w:val="FFFFFF"/>
                <w:sz w:val="22"/>
              </w:rPr>
              <w:t>KIM Read-Through</w:t>
            </w:r>
          </w:p>
        </w:tc>
      </w:tr>
      <w:tr>
        <w:tc>
          <w:tcPr>
            <w:tcW w:type="dxa" w:w="1440"/>
          </w:tcPr>
          <w:p>
            <w:r>
              <w:rPr>
                <w:rFonts w:ascii="Calibri" w:hAnsi="Calibri"/>
                <w:sz w:val="22"/>
              </w:rPr>
              <w:t>REG</w:t>
            </w:r>
          </w:p>
        </w:tc>
        <w:tc>
          <w:tcPr>
            <w:tcW w:type="dxa" w:w="1440"/>
          </w:tcPr>
          <w:p>
            <w:r>
              <w:rPr>
                <w:rFonts w:ascii="Calibri" w:hAnsi="Calibri"/>
                <w:b/>
                <w:color w:val="30A46C"/>
                <w:sz w:val="22"/>
              </w:rPr>
              <w:t>Maintained</w:t>
            </w:r>
          </w:p>
        </w:tc>
        <w:tc>
          <w:tcPr>
            <w:tcW w:type="dxa" w:w="1440"/>
          </w:tcPr>
          <w:p>
            <w:r>
              <w:rPr>
                <w:rFonts w:ascii="Calibri" w:hAnsi="Calibri"/>
                <w:b/>
                <w:color w:val="E5484D"/>
                <w:sz w:val="22"/>
              </w:rPr>
              <w:t>Below FY range (expense comp)</w:t>
            </w:r>
          </w:p>
        </w:tc>
        <w:tc>
          <w:tcPr>
            <w:tcW w:type="dxa" w:w="1440"/>
          </w:tcPr>
          <w:p>
            <w:r>
              <w:rPr>
                <w:rFonts w:ascii="Calibri" w:hAnsi="Calibri"/>
                <w:b/>
                <w:color w:val="30A46C"/>
                <w:sz w:val="22"/>
              </w:rPr>
              <w:t>Near record lows</w:t>
            </w:r>
          </w:p>
        </w:tc>
        <w:tc>
          <w:tcPr>
            <w:tcW w:type="dxa" w:w="1440"/>
          </w:tcPr>
          <w:p>
            <w:r>
              <w:rPr>
                <w:rFonts w:ascii="Calibri" w:hAnsi="Calibri"/>
                <w:b/>
                <w:color w:val="30A46C"/>
                <w:sz w:val="22"/>
              </w:rPr>
              <w:t>Robust; approaching 97% leased</w:t>
            </w:r>
          </w:p>
        </w:tc>
        <w:tc>
          <w:tcPr>
            <w:tcW w:type="dxa" w:w="1440"/>
          </w:tcPr>
          <w:p>
            <w:r>
              <w:rPr>
                <w:rFonts w:ascii="Calibri" w:hAnsi="Calibri"/>
                <w:b/>
                <w:color w:val="30A46C"/>
                <w:sz w:val="22"/>
              </w:rPr>
              <w:t>Positive</w:t>
            </w:r>
          </w:p>
        </w:tc>
      </w:tr>
      <w:tr>
        <w:tc>
          <w:tcPr>
            <w:tcW w:type="dxa" w:w="1440"/>
          </w:tcPr>
          <w:p>
            <w:r>
              <w:rPr>
                <w:rFonts w:ascii="Calibri" w:hAnsi="Calibri"/>
                <w:sz w:val="22"/>
              </w:rPr>
              <w:t>BRX</w:t>
            </w:r>
          </w:p>
        </w:tc>
        <w:tc>
          <w:tcPr>
            <w:tcW w:type="dxa" w:w="1440"/>
          </w:tcPr>
          <w:p>
            <w:r>
              <w:rPr>
                <w:rFonts w:ascii="Calibri" w:hAnsi="Calibri"/>
                <w:b/>
                <w:color w:val="30A46C"/>
                <w:sz w:val="22"/>
              </w:rPr>
              <w:t>Raised (most aggressive)</w:t>
            </w:r>
          </w:p>
        </w:tc>
        <w:tc>
          <w:tcPr>
            <w:tcW w:type="dxa" w:w="1440"/>
          </w:tcPr>
          <w:p>
            <w:r>
              <w:rPr>
                <w:rFonts w:ascii="Calibri" w:hAnsi="Calibri"/>
                <w:b/>
                <w:color w:val="E5484D"/>
                <w:sz w:val="22"/>
              </w:rPr>
              <w:t>Box recapture headwind; H2 reaccel</w:t>
            </w:r>
          </w:p>
        </w:tc>
        <w:tc>
          <w:tcPr>
            <w:tcW w:type="dxa" w:w="1440"/>
          </w:tcPr>
          <w:p>
            <w:r>
              <w:rPr>
                <w:rFonts w:ascii="Calibri" w:hAnsi="Calibri"/>
                <w:b/>
                <w:color w:val="30A46C"/>
                <w:sz w:val="22"/>
              </w:rPr>
              <w:t>Best-ever credit profile</w:t>
            </w:r>
          </w:p>
        </w:tc>
        <w:tc>
          <w:tcPr>
            <w:tcW w:type="dxa" w:w="1440"/>
          </w:tcPr>
          <w:p>
            <w:r>
              <w:rPr>
                <w:rFonts w:ascii="Calibri" w:hAnsi="Calibri"/>
                <w:b/>
                <w:color w:val="30A46C"/>
                <w:sz w:val="22"/>
              </w:rPr>
              <w:t>Elevated; traffic +3.5% YoY</w:t>
            </w:r>
          </w:p>
        </w:tc>
        <w:tc>
          <w:tcPr>
            <w:tcW w:type="dxa" w:w="1440"/>
          </w:tcPr>
          <w:p>
            <w:r>
              <w:rPr>
                <w:rFonts w:ascii="Calibri" w:hAnsi="Calibri"/>
                <w:b/>
                <w:color w:val="30A46C"/>
                <w:sz w:val="22"/>
              </w:rPr>
              <w:t>Strongly Positive</w:t>
            </w:r>
          </w:p>
        </w:tc>
      </w:tr>
      <w:tr>
        <w:tc>
          <w:tcPr>
            <w:tcW w:type="dxa" w:w="1440"/>
          </w:tcPr>
          <w:p>
            <w:r>
              <w:rPr>
                <w:rFonts w:ascii="Calibri" w:hAnsi="Calibri"/>
                <w:sz w:val="22"/>
              </w:rPr>
              <w:t>KRG</w:t>
            </w:r>
          </w:p>
        </w:tc>
        <w:tc>
          <w:tcPr>
            <w:tcW w:type="dxa" w:w="1440"/>
          </w:tcPr>
          <w:p>
            <w:r>
              <w:rPr>
                <w:rFonts w:ascii="Calibri" w:hAnsi="Calibri"/>
                <w:b/>
                <w:color w:val="30A46C"/>
                <w:sz w:val="22"/>
              </w:rPr>
              <w:t>Raised +25 bps at mid</w:t>
            </w:r>
          </w:p>
        </w:tc>
        <w:tc>
          <w:tcPr>
            <w:tcW w:type="dxa" w:w="1440"/>
          </w:tcPr>
          <w:p>
            <w:r>
              <w:rPr>
                <w:rFonts w:ascii="Calibri" w:hAnsi="Calibri"/>
                <w:b/>
                <w:color w:val="E5484D"/>
                <w:sz w:val="22"/>
              </w:rPr>
              <w:t>Moderation then H2 reaccel</w:t>
            </w:r>
          </w:p>
        </w:tc>
        <w:tc>
          <w:tcPr>
            <w:tcW w:type="dxa" w:w="1440"/>
          </w:tcPr>
          <w:p>
            <w:r>
              <w:rPr>
                <w:rFonts w:ascii="Calibri" w:hAnsi="Calibri"/>
                <w:b/>
                <w:color w:val="30A46C"/>
                <w:sz w:val="22"/>
              </w:rPr>
              <w:t>Q1 bad debt ~75 bps (favorable)</w:t>
            </w:r>
          </w:p>
        </w:tc>
        <w:tc>
          <w:tcPr>
            <w:tcW w:type="dxa" w:w="1440"/>
          </w:tcPr>
          <w:p>
            <w:r>
              <w:rPr>
                <w:rFonts w:ascii="Calibri" w:hAnsi="Calibri"/>
                <w:b/>
                <w:color w:val="30A46C"/>
                <w:sz w:val="22"/>
              </w:rPr>
              <w:t>Healthy; small shop near all-time high</w:t>
            </w:r>
          </w:p>
        </w:tc>
        <w:tc>
          <w:tcPr>
            <w:tcW w:type="dxa" w:w="1440"/>
          </w:tcPr>
          <w:p>
            <w:r>
              <w:rPr>
                <w:rFonts w:ascii="Calibri" w:hAnsi="Calibri"/>
                <w:b/>
                <w:color w:val="30A46C"/>
                <w:sz w:val="22"/>
              </w:rPr>
              <w:t>Positive</w:t>
            </w:r>
          </w:p>
        </w:tc>
      </w:tr>
      <w:tr>
        <w:tc>
          <w:tcPr>
            <w:tcW w:type="dxa" w:w="1440"/>
          </w:tcPr>
          <w:p>
            <w:r>
              <w:rPr>
                <w:rFonts w:ascii="Calibri" w:hAnsi="Calibri"/>
                <w:sz w:val="22"/>
              </w:rPr>
              <w:t>PECO</w:t>
            </w:r>
          </w:p>
        </w:tc>
        <w:tc>
          <w:tcPr>
            <w:tcW w:type="dxa" w:w="1440"/>
          </w:tcPr>
          <w:p>
            <w:r>
              <w:rPr>
                <w:rFonts w:ascii="Calibri" w:hAnsi="Calibri"/>
                <w:b/>
                <w:color w:val="30A46C"/>
                <w:sz w:val="22"/>
              </w:rPr>
              <w:t>Raised</w:t>
            </w:r>
          </w:p>
        </w:tc>
        <w:tc>
          <w:tcPr>
            <w:tcW w:type="dxa" w:w="1440"/>
          </w:tcPr>
          <w:p>
            <w:r>
              <w:rPr>
                <w:rFonts w:ascii="Calibri" w:hAnsi="Calibri"/>
                <w:b/>
                <w:color w:val="30A46C"/>
                <w:sz w:val="22"/>
              </w:rPr>
              <w:t>Reiterated 3%–4% same-center NOI</w:t>
            </w:r>
          </w:p>
        </w:tc>
        <w:tc>
          <w:tcPr>
            <w:tcW w:type="dxa" w:w="1440"/>
          </w:tcPr>
          <w:p>
            <w:r>
              <w:rPr>
                <w:rFonts w:ascii="Calibri" w:hAnsi="Calibri"/>
                <w:b/>
                <w:color w:val="30A46C"/>
                <w:sz w:val="22"/>
              </w:rPr>
              <w:t>60 bps Q1; no cracks in tenants</w:t>
            </w:r>
          </w:p>
        </w:tc>
        <w:tc>
          <w:tcPr>
            <w:tcW w:type="dxa" w:w="1440"/>
          </w:tcPr>
          <w:p>
            <w:r>
              <w:rPr>
                <w:rFonts w:ascii="Calibri" w:hAnsi="Calibri"/>
                <w:b/>
                <w:color w:val="30A46C"/>
                <w:sz w:val="22"/>
              </w:rPr>
              <w:t>No slowdown; 28 deals in 9 days</w:t>
            </w:r>
          </w:p>
        </w:tc>
        <w:tc>
          <w:tcPr>
            <w:tcW w:type="dxa" w:w="1440"/>
          </w:tcPr>
          <w:p>
            <w:r>
              <w:rPr>
                <w:rFonts w:ascii="Calibri" w:hAnsi="Calibri"/>
                <w:b/>
                <w:color w:val="30A46C"/>
                <w:sz w:val="22"/>
              </w:rPr>
              <w:t>Strongly Positive</w:t>
            </w:r>
          </w:p>
        </w:tc>
      </w:tr>
      <w:tr>
        <w:tc>
          <w:tcPr>
            <w:tcW w:type="dxa" w:w="1440"/>
          </w:tcPr>
          <w:p>
            <w:r>
              <w:rPr>
                <w:rFonts w:ascii="Calibri" w:hAnsi="Calibri"/>
                <w:sz w:val="22"/>
              </w:rPr>
              <w:t>UE</w:t>
            </w:r>
          </w:p>
        </w:tc>
        <w:tc>
          <w:tcPr>
            <w:tcW w:type="dxa" w:w="1440"/>
          </w:tcPr>
          <w:p>
            <w:r>
              <w:rPr>
                <w:rFonts w:ascii="Calibri" w:hAnsi="Calibri"/>
                <w:b/>
                <w:color w:val="30A46C"/>
                <w:sz w:val="22"/>
              </w:rPr>
              <w:t>Raised low end</w:t>
            </w:r>
          </w:p>
        </w:tc>
        <w:tc>
          <w:tcPr>
            <w:tcW w:type="dxa" w:w="1440"/>
          </w:tcPr>
          <w:p>
            <w:r>
              <w:rPr>
                <w:rFonts w:ascii="Calibri" w:hAnsi="Calibri"/>
                <w:b/>
                <w:color w:val="E5484D"/>
                <w:sz w:val="22"/>
              </w:rPr>
              <w:t>Softer Q2 (CAM comp); H2 reaccel</w:t>
            </w:r>
          </w:p>
        </w:tc>
        <w:tc>
          <w:tcPr>
            <w:tcW w:type="dxa" w:w="1440"/>
          </w:tcPr>
          <w:p>
            <w:r>
              <w:rPr>
                <w:rFonts w:ascii="Calibri" w:hAnsi="Calibri"/>
                <w:b/>
                <w:color w:val="30A46C"/>
                <w:sz w:val="22"/>
              </w:rPr>
              <w:t>75 bps for remainder; isolated Q1 issue</w:t>
            </w:r>
          </w:p>
        </w:tc>
        <w:tc>
          <w:tcPr>
            <w:tcW w:type="dxa" w:w="1440"/>
          </w:tcPr>
          <w:p>
            <w:r>
              <w:rPr>
                <w:rFonts w:ascii="Calibri" w:hAnsi="Calibri"/>
                <w:b/>
                <w:color w:val="30A46C"/>
                <w:sz w:val="22"/>
              </w:rPr>
              <w:t>Robust; 20%+ spread expected</w:t>
            </w:r>
          </w:p>
        </w:tc>
        <w:tc>
          <w:tcPr>
            <w:tcW w:type="dxa" w:w="1440"/>
          </w:tcPr>
          <w:p>
            <w:r>
              <w:rPr>
                <w:rFonts w:ascii="Calibri" w:hAnsi="Calibri"/>
                <w:b/>
                <w:color w:val="30A46C"/>
                <w:sz w:val="22"/>
              </w:rPr>
              <w:t>Positive</w:t>
            </w:r>
          </w:p>
        </w:tc>
      </w:tr>
      <w:tr>
        <w:tc>
          <w:tcPr>
            <w:tcW w:type="dxa" w:w="1440"/>
          </w:tcPr>
          <w:p>
            <w:r>
              <w:rPr>
                <w:rFonts w:ascii="Calibri" w:hAnsi="Calibri"/>
                <w:sz w:val="22"/>
              </w:rPr>
              <w:t>FRT</w:t>
            </w:r>
          </w:p>
        </w:tc>
        <w:tc>
          <w:tcPr>
            <w:tcW w:type="dxa" w:w="1440"/>
          </w:tcPr>
          <w:p>
            <w:r>
              <w:rPr>
                <w:rFonts w:ascii="Calibri" w:hAnsi="Calibri"/>
                <w:b/>
                <w:color w:val="30A46C"/>
                <w:sz w:val="22"/>
              </w:rPr>
              <w:t>Raised</w:t>
            </w:r>
          </w:p>
        </w:tc>
        <w:tc>
          <w:tcPr>
            <w:tcW w:type="dxa" w:w="1440"/>
          </w:tcPr>
          <w:p>
            <w:r>
              <w:rPr>
                <w:rFonts w:ascii="Calibri" w:hAnsi="Calibri"/>
                <w:b/>
                <w:color w:val="E5484D"/>
                <w:sz w:val="22"/>
              </w:rPr>
              <w:t>Q2/Q3 dip; Q4 reaccel</w:t>
            </w:r>
          </w:p>
        </w:tc>
        <w:tc>
          <w:tcPr>
            <w:tcW w:type="dxa" w:w="1440"/>
          </w:tcPr>
          <w:p>
            <w:r>
              <w:rPr>
                <w:rFonts w:ascii="Calibri" w:hAnsi="Calibri"/>
                <w:b/>
                <w:color w:val="30A46C"/>
                <w:sz w:val="22"/>
              </w:rPr>
              <w:t>60–85 bps; healthy tenant sales</w:t>
            </w:r>
          </w:p>
        </w:tc>
        <w:tc>
          <w:tcPr>
            <w:tcW w:type="dxa" w:w="1440"/>
          </w:tcPr>
          <w:p>
            <w:r>
              <w:rPr>
                <w:rFonts w:ascii="Calibri" w:hAnsi="Calibri"/>
                <w:b/>
                <w:color w:val="30A46C"/>
                <w:sz w:val="22"/>
              </w:rPr>
              <w:t>Record Q1 volume; traffic +4% in April</w:t>
            </w:r>
          </w:p>
        </w:tc>
        <w:tc>
          <w:tcPr>
            <w:tcW w:type="dxa" w:w="1440"/>
          </w:tcPr>
          <w:p>
            <w:r>
              <w:rPr>
                <w:rFonts w:ascii="Calibri" w:hAnsi="Calibri"/>
                <w:b/>
                <w:color w:val="30A46C"/>
                <w:sz w:val="22"/>
              </w:rPr>
              <w:t>Positive</w:t>
            </w:r>
          </w:p>
        </w:tc>
      </w:tr>
    </w:tbl>
    <w:p>
      <w:r>
        <w:rPr>
          <w:rFonts w:ascii="Calibri" w:hAnsi="Calibri"/>
          <w:b/>
          <w:color w:val="525866"/>
          <w:sz w:val="22"/>
        </w:rPr>
        <w:t xml:space="preserve">Overall Peer Read-Through: </w:t>
      </w:r>
      <w:r>
        <w:rPr>
          <w:rFonts w:ascii="Calibri" w:hAnsi="Calibri"/>
          <w:color w:val="525866"/>
          <w:sz w:val="22"/>
        </w:rPr>
        <w:t>The sector-wide pattern is clear — all six peers raised or maintained guidance, all reported favorable credit/bad debt trends, and all described leasing demand as robust with no signs of slowing. The common Q2 cadence signal (moderation before H2 reacceleration driven by SNO commencements) is consistent with KIM's own guidance and reduces the risk of a negative surprise on same-site NOI growth. The one watch item is the expense reconciliation comp headwind flagged by REG and the CAM true-up comp flagged by UE, which could create a modest drag on Q2 same-site NOI for KIM as well.</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June 15 issuance of $600M in 3.50% Exchangeable Senior Notes due 2031, which proactively addresses the 2026 refinancing headwind at favorable spreads and validates management's A-minus rating advantage; the Wolfe Research upgrade on June 22 added further positive momentum.</w:t>
      </w:r>
    </w:p>
    <w:p>
      <w:pPr>
        <w:pStyle w:val="ListBullet"/>
        <w:ind w:left="360" w:hanging="360"/>
      </w:pPr>
      <w:r>
        <w:rPr>
          <w:rFonts w:ascii="Calibri" w:hAnsi="Calibri"/>
          <w:b/>
          <w:color w:val="525866"/>
          <w:sz w:val="22"/>
        </w:rPr>
        <w:t xml:space="preserve">June 15, 2026 — $600M Exchangeable Senior Notes Issued (8-K): </w:t>
      </w:r>
      <w:r>
        <w:rPr>
          <w:rFonts w:ascii="Calibri" w:hAnsi="Calibri"/>
          <w:color w:val="525866"/>
          <w:sz w:val="22"/>
        </w:rPr>
        <w:t xml:space="preserve">Kimco Realty OP, LLC issued $600M of 3.50% Exchangeable Senior Notes due June 15, 2031 (including $75M of option notes). Interest payable semi-annually beginning December 15, 2026. This proactively addresses the 2026 debt maturity headwind that management flagged on the Q1 call as a "known headwind fully reflected in our current outlook." The 3.50% coupon is consistent with management's commentary that bond spreads are "among the lowest the company has ever achieved." </w:t>
      </w:r>
      <w:r>
        <w:rPr>
          <w:rFonts w:ascii="Calibri" w:hAnsi="Calibri"/>
          <w:b/>
          <w:color w:val="525866"/>
          <w:sz w:val="22"/>
        </w:rPr>
        <w:t xml:space="preserve">Implication: </w:t>
      </w:r>
      <w:r>
        <w:rPr>
          <w:rFonts w:ascii="Calibri" w:hAnsi="Calibri"/>
          <w:color w:val="525866"/>
          <w:sz w:val="22"/>
        </w:rPr>
        <w:t>Removes a key balance sheet uncertainty heading into Q2 earnings; the convertible structure also provides potential equity upside optionality for investors.</w:t>
      </w:r>
    </w:p>
    <w:p>
      <w:pPr>
        <w:pStyle w:val="ListBullet"/>
        <w:ind w:left="360" w:hanging="360"/>
      </w:pPr>
      <w:r>
        <w:rPr>
          <w:rFonts w:ascii="Calibri" w:hAnsi="Calibri"/>
          <w:b/>
          <w:color w:val="525866"/>
          <w:sz w:val="22"/>
        </w:rPr>
        <w:t xml:space="preserve">June 22, 2026 — Wolfe Research Upgrade to Outperform (from Peer Perform): </w:t>
      </w:r>
      <w:r>
        <w:rPr>
          <w:rFonts w:ascii="Calibri" w:hAnsi="Calibri"/>
          <w:color w:val="525866"/>
          <w:sz w:val="22"/>
        </w:rPr>
        <w:t xml:space="preserve">Wolfe Research upgraded KIM from Peer Perform to Outperform. The stock rose from ~$24.24 to $25.19 on June 9 (likely when the upgrade was anticipated/leaked) and continued to $25.91 by June 12. </w:t>
      </w:r>
      <w:r>
        <w:rPr>
          <w:rFonts w:ascii="Calibri" w:hAnsi="Calibri"/>
          <w:b/>
          <w:color w:val="525866"/>
          <w:sz w:val="22"/>
        </w:rPr>
        <w:t xml:space="preserve">Implication: </w:t>
      </w:r>
      <w:r>
        <w:rPr>
          <w:rFonts w:ascii="Calibri" w:hAnsi="Calibri"/>
          <w:color w:val="525866"/>
          <w:sz w:val="22"/>
        </w:rPr>
        <w:t>Adds a new institutional buyer to the shareholder base; Wolfe's upgrade likely reflects the same thesis management has been articulating — SNO pipeline conversion, private market valuation gap, and sector supply constraints.</w:t>
      </w:r>
    </w:p>
    <w:p>
      <w:pPr>
        <w:pStyle w:val="ListBullet"/>
        <w:ind w:left="360" w:hanging="360"/>
      </w:pPr>
      <w:r>
        <w:rPr>
          <w:rFonts w:ascii="Calibri" w:hAnsi="Calibri"/>
          <w:b/>
          <w:color w:val="525866"/>
          <w:sz w:val="22"/>
        </w:rPr>
        <w:t xml:space="preserve">July 9, 2026 — UBS Raises Price Target to $29 (Buy): </w:t>
      </w:r>
      <w:r>
        <w:rPr>
          <w:rFonts w:ascii="Calibri" w:hAnsi="Calibri"/>
          <w:color w:val="525866"/>
          <w:sz w:val="22"/>
        </w:rPr>
        <w:t xml:space="preserve">UBS increased its price target from $26 to $29 while maintaining a Buy rating. </w:t>
      </w:r>
      <w:r>
        <w:rPr>
          <w:rFonts w:ascii="Calibri" w:hAnsi="Calibri"/>
          <w:b/>
          <w:color w:val="525866"/>
          <w:sz w:val="22"/>
        </w:rPr>
        <w:t xml:space="preserve">Implication: </w:t>
      </w:r>
      <w:r>
        <w:rPr>
          <w:rFonts w:ascii="Calibri" w:hAnsi="Calibri"/>
          <w:color w:val="525866"/>
          <w:sz w:val="22"/>
        </w:rPr>
        <w:t>Suggests growing sell-side conviction in the KIM thesis; $29 PT implies ~14% upside from current levels (~$25.41).</w:t>
      </w:r>
    </w:p>
    <w:p>
      <w:pPr>
        <w:pStyle w:val="ListBullet"/>
        <w:ind w:left="360" w:hanging="360"/>
      </w:pPr>
      <w:r>
        <w:rPr>
          <w:rFonts w:ascii="Calibri" w:hAnsi="Calibri"/>
          <w:b/>
          <w:color w:val="525866"/>
          <w:sz w:val="22"/>
        </w:rPr>
        <w:t xml:space="preserve">May 28, 2026 — Truist Financial Raises PT to $25 (Hold): </w:t>
      </w:r>
      <w:r>
        <w:rPr>
          <w:rFonts w:ascii="Calibri" w:hAnsi="Calibri"/>
          <w:color w:val="525866"/>
          <w:sz w:val="22"/>
        </w:rPr>
        <w:t xml:space="preserve">Truist raised its price target from $23 to $25 while maintaining a Hold rating. </w:t>
      </w:r>
      <w:r>
        <w:rPr>
          <w:rFonts w:ascii="Calibri" w:hAnsi="Calibri"/>
          <w:b/>
          <w:color w:val="525866"/>
          <w:sz w:val="22"/>
        </w:rPr>
        <w:t xml:space="preserve">Implication: </w:t>
      </w:r>
      <w:r>
        <w:rPr>
          <w:rFonts w:ascii="Calibri" w:hAnsi="Calibri"/>
          <w:color w:val="525866"/>
          <w:sz w:val="22"/>
        </w:rPr>
        <w:t>Even cautious analysts are acknowledging improving fundamentals; the Hold rating at $25 suggests limited near-term upside in their view but no fundamental deterioration.</w:t>
      </w:r>
    </w:p>
    <w:p>
      <w:pPr>
        <w:pStyle w:val="ListBullet"/>
        <w:ind w:left="360" w:hanging="360"/>
      </w:pPr>
      <w:r>
        <w:rPr>
          <w:rFonts w:ascii="Calibri" w:hAnsi="Calibri"/>
          <w:b/>
          <w:color w:val="525866"/>
          <w:sz w:val="22"/>
        </w:rPr>
        <w:t xml:space="preserve">June 11, 2026 — Stifel Sets $28 Price Target: </w:t>
      </w:r>
      <w:r>
        <w:rPr>
          <w:rFonts w:ascii="Calibri" w:hAnsi="Calibri"/>
          <w:color w:val="525866"/>
          <w:sz w:val="22"/>
        </w:rPr>
        <w:t xml:space="preserve">Stifel Nicolaus set a $28 price target on KIM. </w:t>
      </w:r>
      <w:r>
        <w:rPr>
          <w:rFonts w:ascii="Calibri" w:hAnsi="Calibri"/>
          <w:b/>
          <w:color w:val="525866"/>
          <w:sz w:val="22"/>
        </w:rPr>
        <w:t xml:space="preserve">Implication: </w:t>
      </w:r>
      <w:r>
        <w:rPr>
          <w:rFonts w:ascii="Calibri" w:hAnsi="Calibri"/>
          <w:color w:val="525866"/>
          <w:sz w:val="22"/>
        </w:rPr>
        <w:t>Consistent with the broader sell-side consensus of "Moderate Buy" with an average PT of ~$26.12 (1 Strong Buy, 7 Buy, 9 Hold).</w:t>
      </w:r>
    </w:p>
    <w:p>
      <w:pPr>
        <w:pStyle w:val="ListBullet"/>
        <w:ind w:left="360" w:hanging="360"/>
      </w:pPr>
      <w:r>
        <w:rPr>
          <w:rFonts w:ascii="Calibri" w:hAnsi="Calibri"/>
          <w:b/>
          <w:color w:val="525866"/>
          <w:sz w:val="22"/>
        </w:rPr>
        <w:t xml:space="preserve">May 28, 2026 — REITweek 2026 Investor Conference Presentation: </w:t>
      </w:r>
      <w:r>
        <w:rPr>
          <w:rFonts w:ascii="Calibri" w:hAnsi="Calibri"/>
          <w:color w:val="525866"/>
          <w:sz w:val="22"/>
        </w:rPr>
        <w:t xml:space="preserve">KIM management presented at Nareit's REITweek 2026 Investor Conference. </w:t>
      </w:r>
      <w:r>
        <w:rPr>
          <w:rFonts w:ascii="Calibri" w:hAnsi="Calibri"/>
          <w:b/>
          <w:color w:val="525866"/>
          <w:sz w:val="22"/>
        </w:rPr>
        <w:t xml:space="preserve">Implication: </w:t>
      </w:r>
      <w:r>
        <w:rPr>
          <w:rFonts w:ascii="Calibri" w:hAnsi="Calibri"/>
          <w:color w:val="525866"/>
          <w:sz w:val="22"/>
        </w:rPr>
        <w:t>Opportunity for management to reinforce the SNO pipeline conversion and capital recycling narrative to institutional investors; no material guidance changes were disclosed.</w:t>
      </w:r>
    </w:p>
    <w:p>
      <w:pPr>
        <w:pStyle w:val="ListBullet"/>
        <w:ind w:left="360" w:hanging="360"/>
      </w:pPr>
      <w:r>
        <w:rPr>
          <w:rFonts w:ascii="Calibri" w:hAnsi="Calibri"/>
          <w:b/>
          <w:color w:val="525866"/>
          <w:sz w:val="22"/>
        </w:rPr>
        <w:t xml:space="preserve">May 21, 2026 — Bernstein Strategic Decisions Conference Presentation: </w:t>
      </w:r>
      <w:r>
        <w:rPr>
          <w:rFonts w:ascii="Calibri" w:hAnsi="Calibri"/>
          <w:color w:val="525866"/>
          <w:sz w:val="22"/>
        </w:rPr>
        <w:t xml:space="preserve">KIM management presented at the Bernstein Strategic Decisions Conference 2026. </w:t>
      </w:r>
      <w:r>
        <w:rPr>
          <w:rFonts w:ascii="Calibri" w:hAnsi="Calibri"/>
          <w:b/>
          <w:color w:val="525866"/>
          <w:sz w:val="22"/>
        </w:rPr>
        <w:t xml:space="preserve">Implication: </w:t>
      </w:r>
      <w:r>
        <w:rPr>
          <w:rFonts w:ascii="Calibri" w:hAnsi="Calibri"/>
          <w:color w:val="525866"/>
          <w:sz w:val="22"/>
        </w:rPr>
        <w:t>Additional investor engagement; no material guidance changes disclosed.</w:t>
      </w:r>
    </w:p>
    <w:p>
      <w:pPr>
        <w:pStyle w:val="ListBullet"/>
        <w:ind w:left="360" w:hanging="360"/>
      </w:pPr>
      <w:r>
        <w:rPr>
          <w:rFonts w:ascii="Calibri" w:hAnsi="Calibri"/>
          <w:b/>
          <w:color w:val="525866"/>
          <w:sz w:val="22"/>
        </w:rPr>
        <w:t xml:space="preserve">Macro Context — Geopolitical/Fuel Price Normalization: </w:t>
      </w:r>
      <w:r>
        <w:rPr>
          <w:rFonts w:ascii="Calibri" w:hAnsi="Calibri"/>
          <w:color w:val="525866"/>
          <w:sz w:val="22"/>
        </w:rPr>
        <w:t>The Iran-U.S. ceasefire agreement (Strait of Hormuz reopening, end of U.S. blockade of Iranian ports) noted in internet sources as of mid-June 2026 would reduce fuel price pressure on consumers — a modest positive for KIM's traffic-dependent tenant base, consistent with management's Q1 commentary that traffic was up 2%+ YoY despite fuel price headwinds.</w:t>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insider transactions (Form 4 buys or sells) were filed for KIM in the period from April 30 to August 3, 2026 — the absence of insider selling is a neutral-to-positive signal, and the lack of open-market buying is not unusual for a REIT where management compensation is primarily equity-based.</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No transactions found</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No Form 4 open-market buys or sells filed Apr 30 – Aug 3, 2026</w:t>
            </w:r>
          </w:p>
        </w:tc>
      </w:tr>
    </w:tbl>
    <w:p>
      <w:r>
        <w:rPr>
          <w:rFonts w:ascii="Calibri" w:hAnsi="Calibri"/>
          <w:color w:val="525866"/>
          <w:sz w:val="22"/>
        </w:rPr>
        <w:t>Source: SEC Form 4 Filings Database. Search window: April 30, 2026 – August 3, 2026. No open-market purchases (code P) or sales (code S) were identified for KIM insiders during this period. The absence of insider selling is a neutral-to-positive signal heading into earnings. Note that KIM management has historically expressed confidence in the company's trajectory through public commentary and capital allocation decisions (e.g., the Q1 2026 share repurchase when the stock was below $20) rather than open-market Form 4 purchases.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