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kim-earnings-predictions--2026-08-04"/>
    <w:p>
      <w:pPr>
        <w:pStyle w:val="Heading1"/>
      </w:pPr>
      <w:r>
        <w:t xml:space="preserve">KIM Earnings Predictions — 2026-08-04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KIM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Core FFO/share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~$0.460 vs. cons $0.4545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KIM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Same-property NOI growth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~4.0% vs. cons 3.89%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KIM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Economic occupancy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~92.5% vs. cons 92.38%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KIM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Core FFO/share (FY26)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1.81</m:t>
              </m:r>
              <m:r>
                <m:rPr>
                  <m:sty m:val="p"/>
                </m:rPr>
                <m:t>−</m:t>
              </m:r>
            </m:oMath>
            <w:r>
              <w:t xml:space="preserve">1.84 vs. cons $1.8371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KIM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Same-property NOI growth (FY26)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~2.8%-3.5% vs. cons 3.83%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KIM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2H SNO conversion / NOI cadence (2H26)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reaffirm acceleration vs. cons UNVERIFIED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KIM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-2.5%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KIM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-3.5%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— implicit 2H estimate cut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2026-08-06T02:05:21Z</dcterms:created>
  <dcterms:modified xsi:type="dcterms:W3CDTF">2026-08-06T02:05:21Z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