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Kimco Realty Corporation (KIM) — 2Q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Kimco Realty Corporation</w:t>
            </w:r>
          </w:p>
        </w:tc>
      </w:tr>
      <w:tr>
        <w:tc>
          <w:tcPr>
            <w:tcW w:type="dxa" w:w="4320"/>
          </w:tcPr>
          <w:p>
            <w:r>
              <w:rPr>
                <w:rFonts w:ascii="Calibri" w:hAnsi="Calibri"/>
                <w:b/>
                <w:sz w:val="22"/>
              </w:rPr>
              <w:t>Ticker</w:t>
            </w:r>
          </w:p>
        </w:tc>
        <w:tc>
          <w:tcPr>
            <w:tcW w:type="dxa" w:w="4320"/>
          </w:tcPr>
          <w:p>
            <w:r>
              <w:rPr>
                <w:rFonts w:ascii="Calibri" w:hAnsi="Calibri"/>
                <w:sz w:val="22"/>
              </w:rPr>
              <w:t>KIM (NYSE)</w:t>
            </w:r>
          </w:p>
        </w:tc>
      </w:tr>
      <w:tr>
        <w:tc>
          <w:tcPr>
            <w:tcW w:type="dxa" w:w="4320"/>
          </w:tcPr>
          <w:p>
            <w:r>
              <w:rPr>
                <w:rFonts w:ascii="Calibri" w:hAnsi="Calibri"/>
                <w:b/>
                <w:sz w:val="22"/>
              </w:rPr>
              <w:t>Reporting Period</w:t>
            </w:r>
          </w:p>
        </w:tc>
        <w:tc>
          <w:tcPr>
            <w:tcW w:type="dxa" w:w="4320"/>
          </w:tcPr>
          <w:p>
            <w:r>
              <w:rPr>
                <w:rFonts w:ascii="Calibri" w:hAnsi="Calibri"/>
                <w:sz w:val="22"/>
              </w:rPr>
              <w:t>2Q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Before Market Open (8:30 AM ET call)</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 ETF Benchmark</w:t>
            </w:r>
          </w:p>
        </w:tc>
        <w:tc>
          <w:tcPr>
            <w:tcW w:type="dxa" w:w="4320"/>
          </w:tcPr>
          <w:p>
            <w:r>
              <w:rPr>
                <w:rFonts w:ascii="Calibri" w:hAnsi="Calibri"/>
                <w:sz w:val="22"/>
              </w:rPr>
              <w:t>REIT — Retail / IYR (iShares U.S. Real Estate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2Q 2026 is constructive — the bar is achievable and the biggest swing factor is the pace of </w:t>
      </w:r>
      <w:r>
        <w:rPr>
          <w:rFonts w:ascii="Calibri" w:hAnsi="Calibri"/>
          <w:b/>
          <w:color w:val="525866"/>
          <w:sz w:val="22"/>
        </w:rPr>
        <w:t>SNO pipeline conversion</w:t>
      </w:r>
      <w:r>
        <w:rPr>
          <w:rFonts w:ascii="Calibri" w:hAnsi="Calibri"/>
          <w:color w:val="525866"/>
          <w:sz w:val="22"/>
        </w:rPr>
        <w:t xml:space="preserve"> to cash-paying rents, which management guided would accelerate sharply in 2H 2026.</w:t>
      </w:r>
    </w:p>
    <w:p>
      <w:r>
        <w:rPr>
          <w:rFonts w:ascii="Calibri" w:hAnsi="Calibri"/>
          <w:color w:val="525866"/>
          <w:sz w:val="22"/>
        </w:rPr>
        <w:t>Heading into the 2Q 2026 print, Kimco's setup is among the most visible in the shopping center REIT sector. Consensus Core FFO of $0.454 per diluted share represents a modest step-up from the $0.458 actual in 1Q 2026 (which itself beat by ~$0.01), and management's tightened full-year guidance range of $1.81–$1.84 implies a clean path to delivery. The bar is not demanding: same-site NOI growth of ~3.9% is expected for 2Q versus the 1.7% trough posted in 1Q, a sequential acceleration management explicitly telegraphed as the record $77 million SNO pipeline (410 bps of leased-to-economic spread) begins converting to cash flow, with over 60% of 2026 commencements weighted to 2H. Estimate revisions have been stable-to-modestly-positive since the April 30 print, with the FY 2026 Core FFO consensus essentially flat at ~$1.84, suggesting the street has not yet fully priced in the SNO ramp or the credit loss improvement (guidance tightened to 65–90 bps from 75–100 bps). The stock has rallied ~7.5% since last earnings, broadly in line with IYR, so the multiple has expanded modestly but KIM still trades at a meaningful discount to private market NAV — leaving room for a positive re-rating if the SNO conversion story is confirmed. The key wildcard is the pace of anchor lease commencements in 2H: any slippage in the $18M+ of projected 2Q–Q4 commencements would pressure the same-site NOI acceleration thesis and could weigh on the stock despite otherwise solid fundamentals.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 bar on Core FFO (~$0.454/share) with the bigger swing factor being </w:t>
      </w:r>
      <w:r>
        <w:rPr>
          <w:rFonts w:ascii="Calibri" w:hAnsi="Calibri"/>
          <w:b/>
          <w:color w:val="525866"/>
          <w:sz w:val="22"/>
        </w:rPr>
        <w:t>same-site NOI growth</w:t>
      </w:r>
      <w:r>
        <w:rPr>
          <w:rFonts w:ascii="Calibri" w:hAnsi="Calibri"/>
          <w:color w:val="525866"/>
          <w:sz w:val="22"/>
        </w:rPr>
        <w:t xml:space="preserve"> (~3.9% expected vs. 1.7% in 1Q) — the first meaningful acceleration of the year and the key proof point for the SNO conversion thesis.</w:t>
      </w:r>
    </w:p>
    <w:p>
      <w:pPr>
        <w:pStyle w:val="Heading2"/>
      </w:pPr>
      <w:r>
        <w:rPr>
          <w:rFonts w:ascii="Calibri" w:hAnsi="Calibri"/>
          <w:b/>
          <w:color w:val="3B4259"/>
          <w:sz w:val="28"/>
        </w:rPr>
        <w:t>Table 1 — Current Quarter Snapshot (2Q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 2026 Actual</w:t>
            </w:r>
          </w:p>
        </w:tc>
        <w:tc>
          <w:tcPr>
            <w:tcW w:type="dxa" w:w="1234"/>
            <w:shd w:val="clear" w:color="auto" w:fill="3B4259"/>
          </w:tcPr>
          <w:p>
            <w:r>
              <w:rPr>
                <w:rFonts w:ascii="Calibri" w:hAnsi="Calibri"/>
                <w:b/>
                <w:color w:val="FFFFFF"/>
                <w:sz w:val="22"/>
              </w:rPr>
              <w:t>2Q 2025 Actual (Prior Year)</w:t>
            </w:r>
          </w:p>
        </w:tc>
        <w:tc>
          <w:tcPr>
            <w:tcW w:type="dxa" w:w="1234"/>
            <w:shd w:val="clear" w:color="auto" w:fill="3B4259"/>
          </w:tcPr>
          <w:p>
            <w:r>
              <w:rPr>
                <w:rFonts w:ascii="Calibri" w:hAnsi="Calibri"/>
                <w:b/>
                <w:color w:val="FFFFFF"/>
                <w:sz w:val="22"/>
              </w:rPr>
              <w:t>2Q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(as of 4/30/26)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FFO per Diluted Share ($)</w:t>
            </w:r>
          </w:p>
        </w:tc>
        <w:tc>
          <w:tcPr>
            <w:tcW w:type="dxa" w:w="1234"/>
          </w:tcPr>
          <w:p>
            <w:r>
              <w:rPr>
                <w:rFonts w:ascii="Calibri" w:hAnsi="Calibri"/>
                <w:sz w:val="22"/>
              </w:rPr>
              <w:t>$0.458</w:t>
            </w:r>
          </w:p>
        </w:tc>
        <w:tc>
          <w:tcPr>
            <w:tcW w:type="dxa" w:w="1234"/>
          </w:tcPr>
          <w:p>
            <w:r>
              <w:rPr>
                <w:rFonts w:ascii="Calibri" w:hAnsi="Calibri"/>
                <w:sz w:val="22"/>
              </w:rPr>
              <w:t>$0.437</w:t>
            </w:r>
          </w:p>
        </w:tc>
        <w:tc>
          <w:tcPr>
            <w:tcW w:type="dxa" w:w="1234"/>
          </w:tcPr>
          <w:p>
            <w:r>
              <w:rPr>
                <w:rFonts w:ascii="Calibri" w:hAnsi="Calibri"/>
                <w:sz w:val="22"/>
              </w:rPr>
              <w:t>$0.454</w:t>
            </w:r>
          </w:p>
        </w:tc>
        <w:tc>
          <w:tcPr>
            <w:tcW w:type="dxa" w:w="1234"/>
          </w:tcPr>
          <w:p>
            <w:r>
              <w:rPr>
                <w:rFonts w:ascii="Calibri" w:hAnsi="Calibri"/>
                <w:sz w:val="22"/>
              </w:rPr>
              <w:t>+3.9%</w:t>
            </w:r>
          </w:p>
        </w:tc>
        <w:tc>
          <w:tcPr>
            <w:tcW w:type="dxa" w:w="1234"/>
          </w:tcPr>
          <w:p>
            <w:r>
              <w:rPr>
                <w:rFonts w:ascii="Calibri" w:hAnsi="Calibri"/>
                <w:sz w:val="22"/>
              </w:rPr>
              <w:t>$1.81–$1.84 FY</w:t>
            </w:r>
          </w:p>
        </w:tc>
        <w:tc>
          <w:tcPr>
            <w:tcW w:type="dxa" w:w="1234"/>
          </w:tcPr>
          <w:p>
            <w:r>
              <w:rPr>
                <w:rFonts w:ascii="Calibri" w:hAnsi="Calibri"/>
                <w:sz w:val="22"/>
              </w:rPr>
              <w:t>~−0.5% vs. $1.825 mid (FY)</w:t>
            </w:r>
          </w:p>
        </w:tc>
      </w:tr>
      <w:tr>
        <w:tc>
          <w:tcPr>
            <w:tcW w:type="dxa" w:w="1234"/>
          </w:tcPr>
          <w:p>
            <w:r>
              <w:rPr>
                <w:rFonts w:ascii="Calibri" w:hAnsi="Calibri"/>
                <w:sz w:val="22"/>
              </w:rPr>
              <w:t>Same-Site NOI Growth YoY (%)</w:t>
            </w:r>
          </w:p>
        </w:tc>
        <w:tc>
          <w:tcPr>
            <w:tcW w:type="dxa" w:w="1234"/>
          </w:tcPr>
          <w:p>
            <w:r>
              <w:rPr>
                <w:rFonts w:ascii="Calibri" w:hAnsi="Calibri"/>
                <w:sz w:val="22"/>
              </w:rPr>
              <w:t>1.7%</w:t>
            </w:r>
          </w:p>
        </w:tc>
        <w:tc>
          <w:tcPr>
            <w:tcW w:type="dxa" w:w="1234"/>
          </w:tcPr>
          <w:p>
            <w:r>
              <w:rPr>
                <w:rFonts w:ascii="Calibri" w:hAnsi="Calibri"/>
                <w:sz w:val="22"/>
              </w:rPr>
              <w:t>3.1%</w:t>
            </w:r>
          </w:p>
        </w:tc>
        <w:tc>
          <w:tcPr>
            <w:tcW w:type="dxa" w:w="1234"/>
          </w:tcPr>
          <w:p>
            <w:r>
              <w:rPr>
                <w:rFonts w:ascii="Calibri" w:hAnsi="Calibri"/>
                <w:sz w:val="22"/>
              </w:rPr>
              <w:t>~3.9%</w:t>
            </w:r>
          </w:p>
        </w:tc>
        <w:tc>
          <w:tcPr>
            <w:tcW w:type="dxa" w:w="1234"/>
          </w:tcPr>
          <w:p>
            <w:r>
              <w:rPr>
                <w:rFonts w:ascii="Calibri" w:hAnsi="Calibri"/>
                <w:sz w:val="22"/>
              </w:rPr>
              <w:t>+280 bps YoY</w:t>
            </w:r>
          </w:p>
        </w:tc>
        <w:tc>
          <w:tcPr>
            <w:tcW w:type="dxa" w:w="1234"/>
          </w:tcPr>
          <w:p>
            <w:r>
              <w:rPr>
                <w:rFonts w:ascii="Calibri" w:hAnsi="Calibri"/>
                <w:sz w:val="22"/>
              </w:rPr>
              <w:t>2.8%–3.5% FY</w:t>
            </w:r>
          </w:p>
        </w:tc>
        <w:tc>
          <w:tcPr>
            <w:tcW w:type="dxa" w:w="1234"/>
          </w:tcPr>
          <w:p>
            <w:r>
              <w:rPr>
                <w:rFonts w:ascii="Calibri" w:hAnsi="Calibri"/>
                <w:sz w:val="22"/>
              </w:rPr>
              <w:t>+58 bps above 3.15% mid</w:t>
            </w:r>
          </w:p>
        </w:tc>
      </w:tr>
      <w:tr>
        <w:tc>
          <w:tcPr>
            <w:tcW w:type="dxa" w:w="1234"/>
          </w:tcPr>
          <w:p>
            <w:r>
              <w:rPr>
                <w:rFonts w:ascii="Calibri" w:hAnsi="Calibri"/>
                <w:sz w:val="22"/>
              </w:rPr>
              <w:t>Economic Occupancy Rate (%)</w:t>
            </w:r>
          </w:p>
        </w:tc>
        <w:tc>
          <w:tcPr>
            <w:tcW w:type="dxa" w:w="1234"/>
          </w:tcPr>
          <w:p>
            <w:r>
              <w:rPr>
                <w:rFonts w:ascii="Calibri" w:hAnsi="Calibri"/>
                <w:sz w:val="22"/>
              </w:rPr>
              <w:t>92.2%</w:t>
            </w:r>
          </w:p>
        </w:tc>
        <w:tc>
          <w:tcPr>
            <w:tcW w:type="dxa" w:w="1234"/>
          </w:tcPr>
          <w:p>
            <w:r>
              <w:rPr>
                <w:rFonts w:ascii="Calibri" w:hAnsi="Calibri"/>
                <w:sz w:val="22"/>
              </w:rPr>
              <w:t>92.3%</w:t>
            </w:r>
          </w:p>
        </w:tc>
        <w:tc>
          <w:tcPr>
            <w:tcW w:type="dxa" w:w="1234"/>
          </w:tcPr>
          <w:p>
            <w:r>
              <w:rPr>
                <w:rFonts w:ascii="Calibri" w:hAnsi="Calibri"/>
                <w:sz w:val="22"/>
              </w:rPr>
              <w:t>~92.4%</w:t>
            </w:r>
          </w:p>
        </w:tc>
        <w:tc>
          <w:tcPr>
            <w:tcW w:type="dxa" w:w="1234"/>
          </w:tcPr>
          <w:p>
            <w:r>
              <w:rPr>
                <w:rFonts w:ascii="Calibri" w:hAnsi="Calibri"/>
                <w:sz w:val="22"/>
              </w:rPr>
              <w:t>+10 bps YoY</w:t>
            </w:r>
          </w:p>
        </w:tc>
        <w:tc>
          <w:tcPr>
            <w:tcW w:type="dxa" w:w="1234"/>
          </w:tcPr>
          <w:p>
            <w:r>
              <w:rPr>
                <w:rFonts w:ascii="Calibri" w:hAnsi="Calibri"/>
                <w:sz w:val="22"/>
              </w:rPr>
              <w:t>Trending upward (no specific quarterly guide)</w:t>
            </w:r>
          </w:p>
        </w:tc>
        <w:tc>
          <w:tcPr>
            <w:tcW w:type="dxa" w:w="1234"/>
          </w:tcPr>
          <w:p>
            <w:r>
              <w:rPr>
                <w:rFonts w:ascii="Calibri" w:hAnsi="Calibri"/>
                <w:sz w:val="22"/>
              </w:rPr>
              <w:t>N/A — no quarterly guidance</w:t>
            </w:r>
          </w:p>
        </w:tc>
      </w:tr>
      <w:tr>
        <w:tc>
          <w:tcPr>
            <w:tcW w:type="dxa" w:w="1234"/>
          </w:tcPr>
          <w:p>
            <w:r>
              <w:rPr>
                <w:rFonts w:ascii="Calibri" w:hAnsi="Calibri"/>
                <w:sz w:val="22"/>
              </w:rPr>
              <w:t>Total Revenue ($M)</w:t>
            </w:r>
          </w:p>
        </w:tc>
        <w:tc>
          <w:tcPr>
            <w:tcW w:type="dxa" w:w="1234"/>
          </w:tcPr>
          <w:p>
            <w:r>
              <w:rPr>
                <w:rFonts w:ascii="Calibri" w:hAnsi="Calibri"/>
                <w:sz w:val="22"/>
              </w:rPr>
              <w:t>N/A — not in VA</w:t>
            </w:r>
          </w:p>
        </w:tc>
        <w:tc>
          <w:tcPr>
            <w:tcW w:type="dxa" w:w="1234"/>
          </w:tcPr>
          <w:p>
            <w:r>
              <w:rPr>
                <w:rFonts w:ascii="Calibri" w:hAnsi="Calibri"/>
                <w:sz w:val="22"/>
              </w:rPr>
              <w:t>N/A — not in VA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Credit Loss (bps of revenue)</w:t>
            </w:r>
          </w:p>
        </w:tc>
        <w:tc>
          <w:tcPr>
            <w:tcW w:type="dxa" w:w="1234"/>
          </w:tcPr>
          <w:p>
            <w:r>
              <w:rPr>
                <w:rFonts w:ascii="Calibri" w:hAnsi="Calibri"/>
                <w:sz w:val="22"/>
              </w:rPr>
              <w:t>52 bps (1Q actual)</w:t>
            </w:r>
          </w:p>
        </w:tc>
        <w:tc>
          <w:tcPr>
            <w:tcW w:type="dxa" w:w="1234"/>
          </w:tcPr>
          <w:p>
            <w:r>
              <w:rPr>
                <w:rFonts w:ascii="Calibri" w:hAnsi="Calibri"/>
                <w:sz w:val="22"/>
              </w:rPr>
              <w:t>~75–100 bps (prior guidance)</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65–90 bps FY (tightened 4/30/26)</w:t>
            </w:r>
          </w:p>
        </w:tc>
        <w:tc>
          <w:tcPr>
            <w:tcW w:type="dxa" w:w="1234"/>
          </w:tcPr>
          <w:p>
            <w:r>
              <w:rPr>
                <w:rFonts w:ascii="Calibri" w:hAnsi="Calibri"/>
                <w:sz w:val="22"/>
              </w:rPr>
              <w:t>N/A — no consensus estimate</w:t>
            </w:r>
          </w:p>
        </w:tc>
      </w:tr>
    </w:tbl>
    <w:p>
      <w:r>
        <w:rPr>
          <w:rFonts w:ascii="Calibri" w:hAnsi="Calibri"/>
          <w:b/>
          <w:color w:val="525866"/>
          <w:sz w:val="22"/>
        </w:rPr>
        <w:t xml:space="preserve">Sources: </w:t>
      </w:r>
      <w:r>
        <w:rPr>
          <w:rFonts w:ascii="Calibri" w:hAnsi="Calibri"/>
          <w:color w:val="525866"/>
          <w:sz w:val="22"/>
        </w:rPr>
        <w:t>Core FFO per Diluted Share and Same-Site NOI Growth actuals and consensus from Visible Alpha Consensus and Actuals Data. Economic Occupancy Rate from Visible Alpha Consensus and Actuals Data. Credit loss actuals from KIM 1Q 2026 Earnings Call (April 30, 2026). FY 2026 guidance from KIM 1Q 2026 Earnings Release (April 30, 2026). Prior-year actuals (2Q 2025) from Visible Alpha Consensus and Actuals Data.</w:t>
      </w:r>
    </w:p>
    <w:p>
      <w:pPr>
        <w:pStyle w:val="Heading2"/>
      </w:pPr>
      <w:r>
        <w:rPr>
          <w:rFonts w:ascii="Calibri" w:hAnsi="Calibri"/>
          <w:b/>
          <w:color w:val="3B4259"/>
          <w:sz w:val="28"/>
        </w:rPr>
        <w:t>Table 2 — Beat/Miss History (Last 8 Quarters — Core FFO per Diluted Share)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0.458</w:t>
            </w:r>
          </w:p>
        </w:tc>
        <w:tc>
          <w:tcPr>
            <w:tcW w:type="dxa" w:w="1728"/>
          </w:tcPr>
          <w:p>
            <w:r>
              <w:rPr>
                <w:rFonts w:ascii="Calibri" w:hAnsi="Calibri"/>
                <w:sz w:val="22"/>
              </w:rPr>
              <w:t>0.453</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4Q 2025</w:t>
            </w:r>
          </w:p>
        </w:tc>
        <w:tc>
          <w:tcPr>
            <w:tcW w:type="dxa" w:w="1728"/>
          </w:tcPr>
          <w:p>
            <w:r>
              <w:rPr>
                <w:rFonts w:ascii="Calibri" w:hAnsi="Calibri"/>
                <w:sz w:val="22"/>
              </w:rPr>
              <w:t>0.432</w:t>
            </w:r>
          </w:p>
        </w:tc>
        <w:tc>
          <w:tcPr>
            <w:tcW w:type="dxa" w:w="1728"/>
          </w:tcPr>
          <w:p>
            <w:r>
              <w:rPr>
                <w:rFonts w:ascii="Calibri" w:hAnsi="Calibri"/>
                <w:sz w:val="22"/>
              </w:rPr>
              <w:t>0.436</w:t>
            </w:r>
          </w:p>
        </w:tc>
        <w:tc>
          <w:tcPr>
            <w:tcW w:type="dxa" w:w="1728"/>
          </w:tcPr>
          <w:p>
            <w:r>
              <w:rPr>
                <w:rFonts w:ascii="Calibri" w:hAnsi="Calibri"/>
                <w:sz w:val="22"/>
              </w:rPr>
              <w:t>−0.9%</w:t>
            </w:r>
          </w:p>
        </w:tc>
        <w:tc>
          <w:tcPr>
            <w:tcW w:type="dxa" w:w="1728"/>
          </w:tcPr>
          <w:p>
            <w:r>
              <w:rPr>
                <w:rFonts w:ascii="Calibri" w:hAnsi="Calibri"/>
                <w:b/>
                <w:color w:val="E5484D"/>
                <w:sz w:val="22"/>
              </w:rPr>
              <w:t>Miss</w:t>
            </w:r>
          </w:p>
        </w:tc>
      </w:tr>
      <w:tr>
        <w:tc>
          <w:tcPr>
            <w:tcW w:type="dxa" w:w="1728"/>
          </w:tcPr>
          <w:p>
            <w:r>
              <w:rPr>
                <w:rFonts w:ascii="Calibri" w:hAnsi="Calibri"/>
                <w:sz w:val="22"/>
              </w:rPr>
              <w:t>3Q 2025</w:t>
            </w:r>
          </w:p>
        </w:tc>
        <w:tc>
          <w:tcPr>
            <w:tcW w:type="dxa" w:w="1728"/>
          </w:tcPr>
          <w:p>
            <w:r>
              <w:rPr>
                <w:rFonts w:ascii="Calibri" w:hAnsi="Calibri"/>
                <w:sz w:val="22"/>
              </w:rPr>
              <w:t>0.440</w:t>
            </w:r>
          </w:p>
        </w:tc>
        <w:tc>
          <w:tcPr>
            <w:tcW w:type="dxa" w:w="1728"/>
          </w:tcPr>
          <w:p>
            <w:r>
              <w:rPr>
                <w:rFonts w:ascii="Calibri" w:hAnsi="Calibri"/>
                <w:sz w:val="22"/>
              </w:rPr>
              <w:t>0.431</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2Q 2025</w:t>
            </w:r>
          </w:p>
        </w:tc>
        <w:tc>
          <w:tcPr>
            <w:tcW w:type="dxa" w:w="1728"/>
          </w:tcPr>
          <w:p>
            <w:r>
              <w:rPr>
                <w:rFonts w:ascii="Calibri" w:hAnsi="Calibri"/>
                <w:sz w:val="22"/>
              </w:rPr>
              <w:t>0.437</w:t>
            </w:r>
          </w:p>
        </w:tc>
        <w:tc>
          <w:tcPr>
            <w:tcW w:type="dxa" w:w="1728"/>
          </w:tcPr>
          <w:p>
            <w:r>
              <w:rPr>
                <w:rFonts w:ascii="Calibri" w:hAnsi="Calibri"/>
                <w:sz w:val="22"/>
              </w:rPr>
              <w:t>0.427</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1Q 2025</w:t>
            </w:r>
          </w:p>
        </w:tc>
        <w:tc>
          <w:tcPr>
            <w:tcW w:type="dxa" w:w="1728"/>
          </w:tcPr>
          <w:p>
            <w:r>
              <w:rPr>
                <w:rFonts w:ascii="Calibri" w:hAnsi="Calibri"/>
                <w:sz w:val="22"/>
              </w:rPr>
              <w:t>0.441</w:t>
            </w:r>
          </w:p>
        </w:tc>
        <w:tc>
          <w:tcPr>
            <w:tcW w:type="dxa" w:w="1728"/>
          </w:tcPr>
          <w:p>
            <w:r>
              <w:rPr>
                <w:rFonts w:ascii="Calibri" w:hAnsi="Calibri"/>
                <w:sz w:val="22"/>
              </w:rPr>
              <w:t>0.422</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4Q 2024</w:t>
            </w:r>
          </w:p>
        </w:tc>
        <w:tc>
          <w:tcPr>
            <w:tcW w:type="dxa" w:w="1728"/>
          </w:tcPr>
          <w:p>
            <w:r>
              <w:rPr>
                <w:rFonts w:ascii="Calibri" w:hAnsi="Calibri"/>
                <w:sz w:val="22"/>
              </w:rPr>
              <w:t>0.421</w:t>
            </w:r>
          </w:p>
        </w:tc>
        <w:tc>
          <w:tcPr>
            <w:tcW w:type="dxa" w:w="1728"/>
          </w:tcPr>
          <w:p>
            <w:r>
              <w:rPr>
                <w:rFonts w:ascii="Calibri" w:hAnsi="Calibri"/>
                <w:sz w:val="22"/>
              </w:rPr>
              <w:t>0.421</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3Q 2024</w:t>
            </w:r>
          </w:p>
        </w:tc>
        <w:tc>
          <w:tcPr>
            <w:tcW w:type="dxa" w:w="1728"/>
          </w:tcPr>
          <w:p>
            <w:r>
              <w:rPr>
                <w:rFonts w:ascii="Calibri" w:hAnsi="Calibri"/>
                <w:sz w:val="22"/>
              </w:rPr>
              <w:t>0.423</w:t>
            </w:r>
          </w:p>
        </w:tc>
        <w:tc>
          <w:tcPr>
            <w:tcW w:type="dxa" w:w="1728"/>
          </w:tcPr>
          <w:p>
            <w:r>
              <w:rPr>
                <w:rFonts w:ascii="Calibri" w:hAnsi="Calibri"/>
                <w:sz w:val="22"/>
              </w:rPr>
              <w:t>0.408</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2Q 2024</w:t>
            </w:r>
          </w:p>
        </w:tc>
        <w:tc>
          <w:tcPr>
            <w:tcW w:type="dxa" w:w="1728"/>
          </w:tcPr>
          <w:p>
            <w:r>
              <w:rPr>
                <w:rFonts w:ascii="Calibri" w:hAnsi="Calibri"/>
                <w:sz w:val="22"/>
              </w:rPr>
              <w:t>0.406</w:t>
            </w:r>
          </w:p>
        </w:tc>
        <w:tc>
          <w:tcPr>
            <w:tcW w:type="dxa" w:w="1728"/>
          </w:tcPr>
          <w:p>
            <w:r>
              <w:rPr>
                <w:rFonts w:ascii="Calibri" w:hAnsi="Calibri"/>
                <w:sz w:val="22"/>
              </w:rPr>
              <w:t>0.401</w:t>
            </w:r>
          </w:p>
        </w:tc>
        <w:tc>
          <w:tcPr>
            <w:tcW w:type="dxa" w:w="1728"/>
          </w:tcPr>
          <w:p>
            <w:r>
              <w:rPr>
                <w:rFonts w:ascii="Calibri" w:hAnsi="Calibri"/>
                <w:sz w:val="22"/>
              </w:rPr>
              <w:t>+1.2%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KIM has beaten Core FFO consensus in 6 of the last 8 quarters, with the sole miss in 4Q 2025 driven by timing of G&amp;A and non-cash items rather than operational weakness — a consistent track record of modest upside delivery that supports a constructive setup into 2Q 2026.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the low end of FY 2026 FFO guidance and tightened credit loss assumptions at the April 30 print; tone at the May 27 Bernstein and June 3 Nareit REITweek conferences has been </w:t>
      </w:r>
      <w:r>
        <w:rPr>
          <w:rFonts w:ascii="Calibri" w:hAnsi="Calibri"/>
          <w:b/>
          <w:color w:val="525866"/>
          <w:sz w:val="22"/>
        </w:rPr>
        <w:t>increasingly confident</w:t>
      </w:r>
      <w:r>
        <w:rPr>
          <w:rFonts w:ascii="Calibri" w:hAnsi="Calibri"/>
          <w:color w:val="525866"/>
          <w:sz w:val="22"/>
        </w:rPr>
        <w:t>, with no negative revisions since last earnings.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(4Q 2025 Earnings, Feb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Diluted Share (FY 2026)</w:t>
            </w:r>
          </w:p>
        </w:tc>
        <w:tc>
          <w:tcPr>
            <w:tcW w:type="dxa" w:w="1728"/>
          </w:tcPr>
          <w:p>
            <w:r>
              <w:rPr>
                <w:rFonts w:ascii="Calibri" w:hAnsi="Calibri"/>
                <w:sz w:val="22"/>
              </w:rPr>
              <w:t>$1.80–$1.84</w:t>
            </w:r>
          </w:p>
        </w:tc>
        <w:tc>
          <w:tcPr>
            <w:tcW w:type="dxa" w:w="1728"/>
          </w:tcPr>
          <w:p>
            <w:r>
              <w:rPr>
                <w:rFonts w:ascii="Calibri" w:hAnsi="Calibri"/>
                <w:sz w:val="22"/>
              </w:rPr>
              <w:t>$1.81–$1.84</w:t>
            </w:r>
          </w:p>
        </w:tc>
        <w:tc>
          <w:tcPr>
            <w:tcW w:type="dxa" w:w="1728"/>
          </w:tcPr>
          <w:p>
            <w:r>
              <w:rPr>
                <w:rFonts w:ascii="Calibri" w:hAnsi="Calibri"/>
                <w:sz w:val="22"/>
              </w:rPr>
              <w:t>$1.837</w:t>
            </w:r>
          </w:p>
        </w:tc>
        <w:tc>
          <w:tcPr>
            <w:tcW w:type="dxa" w:w="1728"/>
          </w:tcPr>
          <w:p>
            <w:r>
              <w:rPr>
                <w:rFonts w:ascii="Calibri" w:hAnsi="Calibri"/>
                <w:sz w:val="22"/>
              </w:rPr>
              <w:t>↑ Low end raised at 1Q 2026 earnings (Apr 30, 2026); reflects better-than-expected credit loss and SNO commencement visibility. Consensus sits near top of range.</w:t>
            </w:r>
          </w:p>
        </w:tc>
      </w:tr>
      <w:tr>
        <w:tc>
          <w:tcPr>
            <w:tcW w:type="dxa" w:w="1728"/>
          </w:tcPr>
          <w:p>
            <w:r>
              <w:rPr>
                <w:rFonts w:ascii="Calibri" w:hAnsi="Calibri"/>
                <w:sz w:val="22"/>
              </w:rPr>
              <w:t>Same-Site NOI Growth (FY 2026)</w:t>
            </w:r>
          </w:p>
        </w:tc>
        <w:tc>
          <w:tcPr>
            <w:tcW w:type="dxa" w:w="1728"/>
          </w:tcPr>
          <w:p>
            <w:r>
              <w:rPr>
                <w:rFonts w:ascii="Calibri" w:hAnsi="Calibri"/>
                <w:sz w:val="22"/>
              </w:rPr>
              <w:t>2.5%–3.5%</w:t>
            </w:r>
          </w:p>
        </w:tc>
        <w:tc>
          <w:tcPr>
            <w:tcW w:type="dxa" w:w="1728"/>
          </w:tcPr>
          <w:p>
            <w:r>
              <w:rPr>
                <w:rFonts w:ascii="Calibri" w:hAnsi="Calibri"/>
                <w:sz w:val="22"/>
              </w:rPr>
              <w:t>2.8%–3.5%</w:t>
            </w:r>
          </w:p>
        </w:tc>
        <w:tc>
          <w:tcPr>
            <w:tcW w:type="dxa" w:w="1728"/>
          </w:tcPr>
          <w:p>
            <w:r>
              <w:rPr>
                <w:rFonts w:ascii="Calibri" w:hAnsi="Calibri"/>
                <w:sz w:val="22"/>
              </w:rPr>
              <w:t>~3.8%–4.9% (VA range)</w:t>
            </w:r>
          </w:p>
        </w:tc>
        <w:tc>
          <w:tcPr>
            <w:tcW w:type="dxa" w:w="1728"/>
          </w:tcPr>
          <w:p>
            <w:r>
              <w:rPr>
                <w:rFonts w:ascii="Calibri" w:hAnsi="Calibri"/>
                <w:sz w:val="22"/>
              </w:rPr>
              <w:t>↑ Low end raised at 1Q 2026 earnings (Apr 30, 2026); driven by improved SNO pipeline timing and better credit loss. Consensus above guidance midpoint, reflecting market optimism.</w:t>
            </w:r>
          </w:p>
        </w:tc>
      </w:tr>
      <w:tr>
        <w:tc>
          <w:tcPr>
            <w:tcW w:type="dxa" w:w="1728"/>
          </w:tcPr>
          <w:p>
            <w:r>
              <w:rPr>
                <w:rFonts w:ascii="Calibri" w:hAnsi="Calibri"/>
                <w:sz w:val="22"/>
              </w:rPr>
              <w:t>Credit Loss (FY 2026, bps of revenue)</w:t>
            </w:r>
          </w:p>
        </w:tc>
        <w:tc>
          <w:tcPr>
            <w:tcW w:type="dxa" w:w="1728"/>
          </w:tcPr>
          <w:p>
            <w:r>
              <w:rPr>
                <w:rFonts w:ascii="Calibri" w:hAnsi="Calibri"/>
                <w:sz w:val="22"/>
              </w:rPr>
              <w:t>75–100 bps</w:t>
            </w:r>
          </w:p>
        </w:tc>
        <w:tc>
          <w:tcPr>
            <w:tcW w:type="dxa" w:w="1728"/>
          </w:tcPr>
          <w:p>
            <w:r>
              <w:rPr>
                <w:rFonts w:ascii="Calibri" w:hAnsi="Calibri"/>
                <w:sz w:val="22"/>
              </w:rPr>
              <w:t>65–90 bps</w:t>
            </w:r>
          </w:p>
        </w:tc>
        <w:tc>
          <w:tcPr>
            <w:tcW w:type="dxa" w:w="1728"/>
          </w:tcPr>
          <w:p>
            <w:r>
              <w:rPr>
                <w:rFonts w:ascii="Calibri" w:hAnsi="Calibri"/>
                <w:sz w:val="22"/>
              </w:rPr>
              <w:t>N/A — not in VA</w:t>
            </w:r>
          </w:p>
        </w:tc>
        <w:tc>
          <w:tcPr>
            <w:tcW w:type="dxa" w:w="1728"/>
          </w:tcPr>
          <w:p>
            <w:r>
              <w:rPr>
                <w:rFonts w:ascii="Calibri" w:hAnsi="Calibri"/>
                <w:sz w:val="22"/>
              </w:rPr>
              <w:t>↓ Tightened favorably at 1Q 2026 earnings (Apr 30, 2026); 1Q actual of 52 bps well below prior range. No meaningful bankruptcy activity in 1Q.</w:t>
            </w:r>
          </w:p>
        </w:tc>
      </w:tr>
      <w:tr>
        <w:tc>
          <w:tcPr>
            <w:tcW w:type="dxa" w:w="1728"/>
          </w:tcPr>
          <w:p>
            <w:r>
              <w:rPr>
                <w:rFonts w:ascii="Calibri" w:hAnsi="Calibri"/>
                <w:sz w:val="22"/>
              </w:rPr>
              <w:t>SNO Commencements (2026 Cash Flow Rent)</w:t>
            </w:r>
          </w:p>
        </w:tc>
        <w:tc>
          <w:tcPr>
            <w:tcW w:type="dxa" w:w="1728"/>
          </w:tcPr>
          <w:p>
            <w:r>
              <w:rPr>
                <w:rFonts w:ascii="Calibri" w:hAnsi="Calibri"/>
                <w:sz w:val="22"/>
              </w:rPr>
              <w:t>$28.5M (original budget)</w:t>
            </w:r>
          </w:p>
        </w:tc>
        <w:tc>
          <w:tcPr>
            <w:tcW w:type="dxa" w:w="1728"/>
          </w:tcPr>
          <w:p>
            <w:r>
              <w:rPr>
                <w:rFonts w:ascii="Calibri" w:hAnsi="Calibri"/>
                <w:sz w:val="22"/>
              </w:rPr>
              <w:t>$31M (raised at 1Q 2026 earnings)</w:t>
            </w:r>
          </w:p>
        </w:tc>
        <w:tc>
          <w:tcPr>
            <w:tcW w:type="dxa" w:w="1728"/>
          </w:tcPr>
          <w:p>
            <w:r>
              <w:rPr>
                <w:rFonts w:ascii="Calibri" w:hAnsi="Calibri"/>
                <w:sz w:val="22"/>
              </w:rPr>
              <w:t>N/A — not in VA</w:t>
            </w:r>
          </w:p>
        </w:tc>
        <w:tc>
          <w:tcPr>
            <w:tcW w:type="dxa" w:w="1728"/>
          </w:tcPr>
          <w:p>
            <w:r>
              <w:rPr>
                <w:rFonts w:ascii="Calibri" w:hAnsi="Calibri"/>
                <w:sz w:val="22"/>
              </w:rPr>
              <w:t>↑ Raised $2.5M at 1Q 2026 earnings (Apr 30, 2026); reflects accelerated commencements and organizational restructuring benefits. Over 60% of SNO weighted to 2H 2026.</w:t>
            </w:r>
          </w:p>
        </w:tc>
      </w:tr>
      <w:tr>
        <w:tc>
          <w:tcPr>
            <w:tcW w:type="dxa" w:w="1728"/>
          </w:tcPr>
          <w:p>
            <w:r>
              <w:rPr>
                <w:rFonts w:ascii="Calibri" w:hAnsi="Calibri"/>
                <w:sz w:val="22"/>
              </w:rPr>
              <w:t>Capital Recycling / Dispositions (FY 2026)</w:t>
            </w:r>
          </w:p>
        </w:tc>
        <w:tc>
          <w:tcPr>
            <w:tcW w:type="dxa" w:w="1728"/>
          </w:tcPr>
          <w:p>
            <w:r>
              <w:rPr>
                <w:rFonts w:ascii="Calibri" w:hAnsi="Calibri"/>
                <w:sz w:val="22"/>
              </w:rPr>
              <w:t>Activity weighted to 2H 2026; ground lease recycling focus</w:t>
            </w:r>
          </w:p>
        </w:tc>
        <w:tc>
          <w:tcPr>
            <w:tcW w:type="dxa" w:w="1728"/>
          </w:tcPr>
          <w:p>
            <w:r>
              <w:rPr>
                <w:rFonts w:ascii="Calibri" w:hAnsi="Calibri"/>
                <w:sz w:val="22"/>
              </w:rPr>
              <w:t>Unchanged; pipeline of ~$200M+ dispositions at various stages</w:t>
            </w:r>
          </w:p>
        </w:tc>
        <w:tc>
          <w:tcPr>
            <w:tcW w:type="dxa" w:w="1728"/>
          </w:tcPr>
          <w:p>
            <w:r>
              <w:rPr>
                <w:rFonts w:ascii="Calibri" w:hAnsi="Calibri"/>
                <w:sz w:val="22"/>
              </w:rPr>
              <w:t>N/A</w:t>
            </w:r>
          </w:p>
        </w:tc>
        <w:tc>
          <w:tcPr>
            <w:tcW w:type="dxa" w:w="1728"/>
          </w:tcPr>
          <w:p>
            <w:r>
              <w:rPr>
                <w:rFonts w:ascii="Calibri" w:hAnsi="Calibri"/>
                <w:sz w:val="22"/>
              </w:rPr>
              <w:t>Unchanged. Management confirmed at Nareit REITweek (Jun 3, 2026) that $160M of annual free cash flow is available for redeployment. Ground lease sales at ~5–5.5% cap, redeployed at 6–6.5% cap.</w:t>
            </w:r>
          </w:p>
        </w:tc>
      </w:tr>
    </w:tbl>
    <w:p>
      <w:r>
        <w:rPr>
          <w:rFonts w:ascii="Calibri" w:hAnsi="Calibri"/>
          <w:b/>
          <w:color w:val="525866"/>
          <w:sz w:val="22"/>
        </w:rPr>
        <w:t xml:space="preserve">Tone Evolution: </w:t>
      </w:r>
      <w:r>
        <w:rPr>
          <w:rFonts w:ascii="Calibri" w:hAnsi="Calibri"/>
          <w:color w:val="525866"/>
          <w:sz w:val="22"/>
        </w:rPr>
        <w:t>At the Bernstein Strategic Decisions Conference (May 27, 2026), CEO Conor Flynn described the retail environment as entering a "very new chapter" with "structural growth rather than cyclicality," citing 30%+ new lease spreads, 10–12% renewal spreads, and all-time high retention rates above 90%. At Nareit REITweek (June 3, 2026), CFO Glenn Cohen explicitly stated the $77M SNO pipeline (plus ~$20M in CAM/tax/insurance recoveries and ~$20M shadow pipeline) "will fuel both FFO and same-site NOI growth." The June 15, 2026 issuance of $600M in 3.50% Exchangeable Senior Notes due 2031 was a proactive capital markets action, not a guidance change, but signals management's confidence in locking in low-cost funding ahead of $800M of 2026 debt maturities (weighted-average legacy rate ~2.6%).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stable-to-modestly-positive since the April 30 print — the FY 2026 Core FFO consensus is essentially flat at ~$1.837 vs. the $1.844 baseline immediately post-earnings, suggesting the street has not yet fully priced in the SNO ramp. The </w:t>
      </w:r>
      <w:r>
        <w:rPr>
          <w:rFonts w:ascii="Calibri" w:hAnsi="Calibri"/>
          <w:b/>
          <w:color w:val="525866"/>
          <w:sz w:val="22"/>
        </w:rPr>
        <w:t>same-site NOI consensus sits above the guidance midpoint</w:t>
      </w:r>
      <w:r>
        <w:rPr>
          <w:rFonts w:ascii="Calibri" w:hAnsi="Calibri"/>
          <w:color w:val="525866"/>
          <w:sz w:val="22"/>
        </w:rPr>
        <w:t>, which is a cushion rather than a risk if management delivers on the 2H acceleration.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1Q Earnings (as of 5/7/26)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(1Q 2026 Earnings, 4/30/26)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Core FFO/Share — 2Q 2026</w:t>
            </w:r>
          </w:p>
        </w:tc>
        <w:tc>
          <w:tcPr>
            <w:tcW w:type="dxa" w:w="1080"/>
          </w:tcPr>
          <w:p>
            <w:r>
              <w:rPr>
                <w:rFonts w:ascii="Calibri" w:hAnsi="Calibri"/>
                <w:sz w:val="22"/>
              </w:rPr>
              <w:t>$0.455</w:t>
            </w:r>
          </w:p>
        </w:tc>
        <w:tc>
          <w:tcPr>
            <w:tcW w:type="dxa" w:w="1080"/>
          </w:tcPr>
          <w:p>
            <w:r>
              <w:rPr>
                <w:rFonts w:ascii="Calibri" w:hAnsi="Calibri"/>
                <w:sz w:val="22"/>
              </w:rPr>
              <w:t>$0.454</w:t>
            </w:r>
          </w:p>
        </w:tc>
        <w:tc>
          <w:tcPr>
            <w:tcW w:type="dxa" w:w="1080"/>
          </w:tcPr>
          <w:p>
            <w:r>
              <w:rPr>
                <w:rFonts w:ascii="Calibri" w:hAnsi="Calibri"/>
                <w:sz w:val="22"/>
              </w:rPr>
              <w:t>−0.2%</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FFO/Share — FY 2026</w:t>
            </w:r>
          </w:p>
        </w:tc>
        <w:tc>
          <w:tcPr>
            <w:tcW w:type="dxa" w:w="1080"/>
          </w:tcPr>
          <w:p>
            <w:r>
              <w:rPr>
                <w:rFonts w:ascii="Calibri" w:hAnsi="Calibri"/>
                <w:sz w:val="22"/>
              </w:rPr>
              <w:t>$1.844</w:t>
            </w:r>
          </w:p>
        </w:tc>
        <w:tc>
          <w:tcPr>
            <w:tcW w:type="dxa" w:w="1080"/>
          </w:tcPr>
          <w:p>
            <w:r>
              <w:rPr>
                <w:rFonts w:ascii="Calibri" w:hAnsi="Calibri"/>
                <w:sz w:val="22"/>
              </w:rPr>
              <w:t>$1.837</w:t>
            </w:r>
          </w:p>
        </w:tc>
        <w:tc>
          <w:tcPr>
            <w:tcW w:type="dxa" w:w="1080"/>
          </w:tcPr>
          <w:p>
            <w:r>
              <w:rPr>
                <w:rFonts w:ascii="Calibri" w:hAnsi="Calibri"/>
                <w:sz w:val="22"/>
              </w:rPr>
              <w:t>−0.4%</w:t>
            </w:r>
          </w:p>
        </w:tc>
        <w:tc>
          <w:tcPr>
            <w:tcW w:type="dxa" w:w="1080"/>
          </w:tcPr>
          <w:p>
            <w:r>
              <w:rPr>
                <w:rFonts w:ascii="Calibri" w:hAnsi="Calibri"/>
                <w:sz w:val="22"/>
              </w:rPr>
              <w:t>$1.81–$1.84</w:t>
            </w:r>
          </w:p>
        </w:tc>
        <w:tc>
          <w:tcPr>
            <w:tcW w:type="dxa" w:w="1080"/>
          </w:tcPr>
          <w:p>
            <w:r>
              <w:rPr>
                <w:rFonts w:ascii="Calibri" w:hAnsi="Calibri"/>
                <w:sz w:val="22"/>
              </w:rPr>
              <w:t>$1.81–$1.84 (unchanged)</w:t>
            </w:r>
          </w:p>
        </w:tc>
        <w:tc>
          <w:tcPr>
            <w:tcW w:type="dxa" w:w="1080"/>
          </w:tcPr>
          <w:p>
            <w:r>
              <w:rPr>
                <w:rFonts w:ascii="Calibri" w:hAnsi="Calibri"/>
                <w:sz w:val="22"/>
              </w:rPr>
              <w:t>Unchanged</w:t>
            </w:r>
          </w:p>
        </w:tc>
        <w:tc>
          <w:tcPr>
            <w:tcW w:type="dxa" w:w="1080"/>
          </w:tcPr>
          <w:p>
            <w:r>
              <w:rPr>
                <w:rFonts w:ascii="Calibri" w:hAnsi="Calibri"/>
                <w:sz w:val="22"/>
              </w:rPr>
              <w:t>+0.7% above $1.825 mid</w:t>
            </w:r>
          </w:p>
        </w:tc>
      </w:tr>
      <w:tr>
        <w:tc>
          <w:tcPr>
            <w:tcW w:type="dxa" w:w="1080"/>
          </w:tcPr>
          <w:p>
            <w:r>
              <w:rPr>
                <w:rFonts w:ascii="Calibri" w:hAnsi="Calibri"/>
                <w:sz w:val="22"/>
              </w:rPr>
              <w:t>Same-Site NOI Growth — 2Q 2026</w:t>
            </w:r>
          </w:p>
        </w:tc>
        <w:tc>
          <w:tcPr>
            <w:tcW w:type="dxa" w:w="1080"/>
          </w:tcPr>
          <w:p>
            <w:r>
              <w:rPr>
                <w:rFonts w:ascii="Calibri" w:hAnsi="Calibri"/>
                <w:sz w:val="22"/>
              </w:rPr>
              <w:t>5.8%</w:t>
            </w:r>
          </w:p>
        </w:tc>
        <w:tc>
          <w:tcPr>
            <w:tcW w:type="dxa" w:w="1080"/>
          </w:tcPr>
          <w:p>
            <w:r>
              <w:rPr>
                <w:rFonts w:ascii="Calibri" w:hAnsi="Calibri"/>
                <w:sz w:val="22"/>
              </w:rPr>
              <w:t>~3.9%</w:t>
            </w:r>
          </w:p>
        </w:tc>
        <w:tc>
          <w:tcPr>
            <w:tcW w:type="dxa" w:w="1080"/>
          </w:tcPr>
          <w:p>
            <w:r>
              <w:rPr>
                <w:rFonts w:ascii="Calibri" w:hAnsi="Calibri"/>
                <w:sz w:val="22"/>
              </w:rPr>
              <w:t>−32.8%</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Same-Site NOI Growth — FY 2026</w:t>
            </w:r>
          </w:p>
        </w:tc>
        <w:tc>
          <w:tcPr>
            <w:tcW w:type="dxa" w:w="1080"/>
          </w:tcPr>
          <w:p>
            <w:r>
              <w:rPr>
                <w:rFonts w:ascii="Calibri" w:hAnsi="Calibri"/>
                <w:sz w:val="22"/>
              </w:rPr>
              <w:t>4.9%</w:t>
            </w:r>
          </w:p>
        </w:tc>
        <w:tc>
          <w:tcPr>
            <w:tcW w:type="dxa" w:w="1080"/>
          </w:tcPr>
          <w:p>
            <w:r>
              <w:rPr>
                <w:rFonts w:ascii="Calibri" w:hAnsi="Calibri"/>
                <w:sz w:val="22"/>
              </w:rPr>
              <w:t>~3.8%</w:t>
            </w:r>
          </w:p>
        </w:tc>
        <w:tc>
          <w:tcPr>
            <w:tcW w:type="dxa" w:w="1080"/>
          </w:tcPr>
          <w:p>
            <w:r>
              <w:rPr>
                <w:rFonts w:ascii="Calibri" w:hAnsi="Calibri"/>
                <w:sz w:val="22"/>
              </w:rPr>
              <w:t>−22.4%</w:t>
            </w:r>
          </w:p>
        </w:tc>
        <w:tc>
          <w:tcPr>
            <w:tcW w:type="dxa" w:w="1080"/>
          </w:tcPr>
          <w:p>
            <w:r>
              <w:rPr>
                <w:rFonts w:ascii="Calibri" w:hAnsi="Calibri"/>
                <w:sz w:val="22"/>
              </w:rPr>
              <w:t>2.8%–3.5%</w:t>
            </w:r>
          </w:p>
        </w:tc>
        <w:tc>
          <w:tcPr>
            <w:tcW w:type="dxa" w:w="1080"/>
          </w:tcPr>
          <w:p>
            <w:r>
              <w:rPr>
                <w:rFonts w:ascii="Calibri" w:hAnsi="Calibri"/>
                <w:sz w:val="22"/>
              </w:rPr>
              <w:t>2.8%–3.5% (unchanged)</w:t>
            </w:r>
          </w:p>
        </w:tc>
        <w:tc>
          <w:tcPr>
            <w:tcW w:type="dxa" w:w="1080"/>
          </w:tcPr>
          <w:p>
            <w:r>
              <w:rPr>
                <w:rFonts w:ascii="Calibri" w:hAnsi="Calibri"/>
                <w:sz w:val="22"/>
              </w:rPr>
              <w:t>Unchanged</w:t>
            </w:r>
          </w:p>
        </w:tc>
        <w:tc>
          <w:tcPr>
            <w:tcW w:type="dxa" w:w="1080"/>
          </w:tcPr>
          <w:p>
            <w:r>
              <w:rPr>
                <w:rFonts w:ascii="Calibri" w:hAnsi="Calibri"/>
                <w:sz w:val="22"/>
              </w:rPr>
              <w:t>+65 bps above 3.15% mid</w:t>
            </w:r>
          </w:p>
        </w:tc>
      </w:tr>
      <w:tr>
        <w:tc>
          <w:tcPr>
            <w:tcW w:type="dxa" w:w="1080"/>
          </w:tcPr>
          <w:p>
            <w:r>
              <w:rPr>
                <w:rFonts w:ascii="Calibri" w:hAnsi="Calibri"/>
                <w:sz w:val="22"/>
              </w:rPr>
              <w:t>Economic Occupancy — 2Q 2026</w:t>
            </w:r>
          </w:p>
        </w:tc>
        <w:tc>
          <w:tcPr>
            <w:tcW w:type="dxa" w:w="1080"/>
          </w:tcPr>
          <w:p>
            <w:r>
              <w:rPr>
                <w:rFonts w:ascii="Calibri" w:hAnsi="Calibri"/>
                <w:sz w:val="22"/>
              </w:rPr>
              <w:t>92.25%</w:t>
            </w:r>
          </w:p>
        </w:tc>
        <w:tc>
          <w:tcPr>
            <w:tcW w:type="dxa" w:w="1080"/>
          </w:tcPr>
          <w:p>
            <w:r>
              <w:rPr>
                <w:rFonts w:ascii="Calibri" w:hAnsi="Calibri"/>
                <w:sz w:val="22"/>
              </w:rPr>
              <w:t>~92.4%</w:t>
            </w:r>
          </w:p>
        </w:tc>
        <w:tc>
          <w:tcPr>
            <w:tcW w:type="dxa" w:w="1080"/>
          </w:tcPr>
          <w:p>
            <w:r>
              <w:rPr>
                <w:rFonts w:ascii="Calibri" w:hAnsi="Calibri"/>
                <w:sz w:val="22"/>
              </w:rPr>
              <w:t>+0.2%</w:t>
            </w:r>
          </w:p>
        </w:tc>
        <w:tc>
          <w:tcPr>
            <w:tcW w:type="dxa" w:w="1080"/>
          </w:tcPr>
          <w:p>
            <w:r>
              <w:rPr>
                <w:rFonts w:ascii="Calibri" w:hAnsi="Calibri"/>
                <w:sz w:val="22"/>
              </w:rPr>
              <w:t>Trending upward (no specific guide)</w:t>
            </w:r>
          </w:p>
        </w:tc>
        <w:tc>
          <w:tcPr>
            <w:tcW w:type="dxa" w:w="1080"/>
          </w:tcPr>
          <w:p>
            <w:r>
              <w:rPr>
                <w:rFonts w:ascii="Calibri" w:hAnsi="Calibri"/>
                <w:sz w:val="22"/>
              </w:rPr>
              <w:t>Trending upward (no specific guide)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Baseline date of 5/7/26 represents approximately 5 trading days after the April 30, 2026 earnings release. The large apparent decline in the 2Q 2026 same-site NOI consensus from the 5/7/26 baseline (5.8%) to current (~3.9%) reflects a re-anchoring of estimates after the 1Q 2026 actual of 1.7% — the 5/7/26 figure likely captured a stale pre-print estimate rather than a true post-print revision. The FY 2026 Core FFO consensus of $1.837 sits just above the guidance midpoint of $1.825, consistent with management’s track record of conservative guidance and modest beat delivery.</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KIM has outperformed IYR since last earnings (+7.5% vs. +2.5% for IYR), driven primarily by </w:t>
      </w:r>
      <w:r>
        <w:rPr>
          <w:rFonts w:ascii="Calibri" w:hAnsi="Calibri"/>
          <w:b/>
          <w:color w:val="525866"/>
          <w:sz w:val="22"/>
        </w:rPr>
        <w:t>multiple expansion</w:t>
      </w:r>
      <w:r>
        <w:rPr>
          <w:rFonts w:ascii="Calibri" w:hAnsi="Calibri"/>
          <w:color w:val="525866"/>
          <w:sz w:val="22"/>
        </w:rPr>
        <w:t xml:space="preserve"> (EV/EBITDA expanded from ~14.5x to ~16.1x over 3 months) rather than estimate revisions, suggesting sentiment re-rating is doing the heavy lifting — durable if the SNO conversion story is confirmed at 2Q.</w:t>
      </w:r>
    </w:p>
    <w:p>
      <w:r>
        <w:rPr>
          <w:rFonts w:ascii="Calibri" w:hAnsi="Calibri"/>
          <w:color w:val="525866"/>
          <w:sz w:val="22"/>
        </w:rPr>
        <w:t>Since the April 30, 2026 earnings close ($23.64), KIM has rallied to ~$25.41 as of August 4, 2026 — a gain of approximately +7.5%. Over the same period, IYR (iShares U.S. Real Estate ETF, the relevant sector benchmark for retail REITs) gained approximately +2.5%, and the S&amp;P 500 (SPY) gained approximately +5.4%. KIM’s outperformance vs. IYR reflects sector-specific re-rating: the June 9–12 surge (+$0.72 over 4 days) coincided with the June 15 announcement of the $600M exchangeable notes issuance, signaling proactive balance sheet management. The stock pulled back modestly in late June/early July before recovering in mid-July as peers (REG, BRX, PECO) reported strong 2Q results with raised guidance, providing positive read-through. NTM EV/EBITDA has expanded from ~14.5x (3 months ago) to ~16.1x currently, confirming the move is multiple-driven. The stock remains at a meaningful discount to private market NAV, which management has cited as a persistent disconnect.</w:t>
      </w:r>
    </w:p>
    <w:p>
      <w:r>
        <w:rPr>
          <w:rFonts w:ascii="Calibri" w:hAnsi="Calibri"/>
          <w:b/>
          <w:color w:val="525866"/>
          <w:sz w:val="22"/>
        </w:rPr>
        <w:t>Chart: KIM vs. IYR vs. S&amp;P 500 — Indexed to 100 at April 30, 2026 (Last Earnings Date)</w:t>
      </w:r>
    </w:p>
    <w:p>
      <w:r>
        <w:rPr>
          <w:i/>
        </w:rPr>
        <w:t>[Image not found: gs://lum-production-user-data/conversations/2026-08-03/conv_01k0aqhqhqhqhqhqhqhqhqhq/plotly_charts/kim_stock_performance.json]</w:t>
      </w:r>
    </w:p>
    <w:p>
      <w:pPr>
        <w:jc w:val="center"/>
      </w:pPr>
      <w:r>
        <w:rPr>
          <w:i/>
          <w:color w:val="666666"/>
          <w:sz w:val="18"/>
        </w:rPr>
        <w:t>KIM vs. IYR vs. S&amp;P 500 — Indexed to 100 at April 30, 2026. Note: Chart generated from Yahoo Finance price data. Key events marked: June 15 = $600M Exchangeable Notes Issuance; June 3 = Nareit REITweek Conference; May 27 = Bernstein Conference.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Reference Point</w:t>
            </w:r>
          </w:p>
        </w:tc>
        <w:tc>
          <w:tcPr>
            <w:tcW w:type="dxa" w:w="1728"/>
            <w:shd w:val="clear" w:color="auto" w:fill="3B4259"/>
          </w:tcPr>
          <w:p>
            <w:r>
              <w:rPr>
                <w:rFonts w:ascii="Calibri" w:hAnsi="Calibri"/>
                <w:b/>
                <w:color w:val="FFFFFF"/>
                <w:sz w:val="22"/>
              </w:rPr>
              <w:t>KIM Price</w:t>
            </w:r>
          </w:p>
        </w:tc>
        <w:tc>
          <w:tcPr>
            <w:tcW w:type="dxa" w:w="1728"/>
            <w:shd w:val="clear" w:color="auto" w:fill="3B4259"/>
          </w:tcPr>
          <w:p>
            <w:r>
              <w:rPr>
                <w:rFonts w:ascii="Calibri" w:hAnsi="Calibri"/>
                <w:b/>
                <w:color w:val="FFFFFF"/>
                <w:sz w:val="22"/>
              </w:rPr>
              <w:t>KIM Indexed</w:t>
            </w:r>
          </w:p>
        </w:tc>
        <w:tc>
          <w:tcPr>
            <w:tcW w:type="dxa" w:w="1728"/>
            <w:shd w:val="clear" w:color="auto" w:fill="3B4259"/>
          </w:tcPr>
          <w:p>
            <w:r>
              <w:rPr>
                <w:rFonts w:ascii="Calibri" w:hAnsi="Calibri"/>
                <w:b/>
                <w:color w:val="FFFFFF"/>
                <w:sz w:val="22"/>
              </w:rPr>
              <w:t>IYR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Apr 30, 2026 (Last Earnings)</w:t>
            </w:r>
          </w:p>
        </w:tc>
        <w:tc>
          <w:tcPr>
            <w:tcW w:type="dxa" w:w="1728"/>
          </w:tcPr>
          <w:p>
            <w:r>
              <w:rPr>
                <w:rFonts w:ascii="Calibri" w:hAnsi="Calibri"/>
                <w:sz w:val="22"/>
              </w:rPr>
              <w:t>$23.64</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27, 2026 (Bernstein Conference)</w:t>
            </w:r>
          </w:p>
        </w:tc>
        <w:tc>
          <w:tcPr>
            <w:tcW w:type="dxa" w:w="1728"/>
          </w:tcPr>
          <w:p>
            <w:r>
              <w:rPr>
                <w:rFonts w:ascii="Calibri" w:hAnsi="Calibri"/>
                <w:sz w:val="22"/>
              </w:rPr>
              <w:t>$24.42</w:t>
            </w:r>
          </w:p>
        </w:tc>
        <w:tc>
          <w:tcPr>
            <w:tcW w:type="dxa" w:w="1728"/>
          </w:tcPr>
          <w:p>
            <w:r>
              <w:rPr>
                <w:rFonts w:ascii="Calibri" w:hAnsi="Calibri"/>
                <w:sz w:val="22"/>
              </w:rPr>
              <w:t>103.3</w:t>
            </w:r>
          </w:p>
        </w:tc>
        <w:tc>
          <w:tcPr>
            <w:tcW w:type="dxa" w:w="1728"/>
          </w:tcPr>
          <w:p>
            <w:r>
              <w:rPr>
                <w:rFonts w:ascii="Calibri" w:hAnsi="Calibri"/>
                <w:sz w:val="22"/>
              </w:rPr>
              <w:t>100.2</w:t>
            </w:r>
          </w:p>
        </w:tc>
        <w:tc>
          <w:tcPr>
            <w:tcW w:type="dxa" w:w="1728"/>
          </w:tcPr>
          <w:p>
            <w:r>
              <w:rPr>
                <w:rFonts w:ascii="Calibri" w:hAnsi="Calibri"/>
                <w:sz w:val="22"/>
              </w:rPr>
              <w:t>104.4</w:t>
            </w:r>
          </w:p>
        </w:tc>
      </w:tr>
      <w:tr>
        <w:tc>
          <w:tcPr>
            <w:tcW w:type="dxa" w:w="1728"/>
          </w:tcPr>
          <w:p>
            <w:r>
              <w:rPr>
                <w:rFonts w:ascii="Calibri" w:hAnsi="Calibri"/>
                <w:sz w:val="22"/>
              </w:rPr>
              <w:t>Jun 3, 2026 (Nareit REITweek)</w:t>
            </w:r>
          </w:p>
        </w:tc>
        <w:tc>
          <w:tcPr>
            <w:tcW w:type="dxa" w:w="1728"/>
          </w:tcPr>
          <w:p>
            <w:r>
              <w:rPr>
                <w:rFonts w:ascii="Calibri" w:hAnsi="Calibri"/>
                <w:sz w:val="22"/>
              </w:rPr>
              <w:t>$23.77</w:t>
            </w:r>
          </w:p>
        </w:tc>
        <w:tc>
          <w:tcPr>
            <w:tcW w:type="dxa" w:w="1728"/>
          </w:tcPr>
          <w:p>
            <w:r>
              <w:rPr>
                <w:rFonts w:ascii="Calibri" w:hAnsi="Calibri"/>
                <w:sz w:val="22"/>
              </w:rPr>
              <w:t>100.5</w:t>
            </w:r>
          </w:p>
        </w:tc>
        <w:tc>
          <w:tcPr>
            <w:tcW w:type="dxa" w:w="1728"/>
          </w:tcPr>
          <w:p>
            <w:r>
              <w:rPr>
                <w:rFonts w:ascii="Calibri" w:hAnsi="Calibri"/>
                <w:sz w:val="22"/>
              </w:rPr>
              <w:t>97.4</w:t>
            </w:r>
          </w:p>
        </w:tc>
        <w:tc>
          <w:tcPr>
            <w:tcW w:type="dxa" w:w="1728"/>
          </w:tcPr>
          <w:p>
            <w:r>
              <w:rPr>
                <w:rFonts w:ascii="Calibri" w:hAnsi="Calibri"/>
                <w:sz w:val="22"/>
              </w:rPr>
              <w:t>104.9</w:t>
            </w:r>
          </w:p>
        </w:tc>
      </w:tr>
      <w:tr>
        <w:tc>
          <w:tcPr>
            <w:tcW w:type="dxa" w:w="1728"/>
          </w:tcPr>
          <w:p>
            <w:r>
              <w:rPr>
                <w:rFonts w:ascii="Calibri" w:hAnsi="Calibri"/>
                <w:sz w:val="22"/>
              </w:rPr>
              <w:t>Jun 15, 2026 ($600M Notes Issuance)</w:t>
            </w:r>
          </w:p>
        </w:tc>
        <w:tc>
          <w:tcPr>
            <w:tcW w:type="dxa" w:w="1728"/>
          </w:tcPr>
          <w:p>
            <w:r>
              <w:rPr>
                <w:rFonts w:ascii="Calibri" w:hAnsi="Calibri"/>
                <w:sz w:val="22"/>
              </w:rPr>
              <w:t>$25.35</w:t>
            </w:r>
          </w:p>
        </w:tc>
        <w:tc>
          <w:tcPr>
            <w:tcW w:type="dxa" w:w="1728"/>
          </w:tcPr>
          <w:p>
            <w:r>
              <w:rPr>
                <w:rFonts w:ascii="Calibri" w:hAnsi="Calibri"/>
                <w:sz w:val="22"/>
              </w:rPr>
              <w:t>107.2</w:t>
            </w:r>
          </w:p>
        </w:tc>
        <w:tc>
          <w:tcPr>
            <w:tcW w:type="dxa" w:w="1728"/>
          </w:tcPr>
          <w:p>
            <w:r>
              <w:rPr>
                <w:rFonts w:ascii="Calibri" w:hAnsi="Calibri"/>
                <w:sz w:val="22"/>
              </w:rPr>
              <w:t>100.4</w:t>
            </w:r>
          </w:p>
        </w:tc>
        <w:tc>
          <w:tcPr>
            <w:tcW w:type="dxa" w:w="1728"/>
          </w:tcPr>
          <w:p>
            <w:r>
              <w:rPr>
                <w:rFonts w:ascii="Calibri" w:hAnsi="Calibri"/>
                <w:sz w:val="22"/>
              </w:rPr>
              <w:t>105.0</w:t>
            </w:r>
          </w:p>
        </w:tc>
      </w:tr>
      <w:tr>
        <w:tc>
          <w:tcPr>
            <w:tcW w:type="dxa" w:w="1728"/>
          </w:tcPr>
          <w:p>
            <w:r>
              <w:rPr>
                <w:rFonts w:ascii="Calibri" w:hAnsi="Calibri"/>
                <w:sz w:val="22"/>
              </w:rPr>
              <w:t>Jul 16, 2026 (Peer Earnings Catalyst)</w:t>
            </w:r>
          </w:p>
        </w:tc>
        <w:tc>
          <w:tcPr>
            <w:tcW w:type="dxa" w:w="1728"/>
          </w:tcPr>
          <w:p>
            <w:r>
              <w:rPr>
                <w:rFonts w:ascii="Calibri" w:hAnsi="Calibri"/>
                <w:sz w:val="22"/>
              </w:rPr>
              <w:t>$26.03</w:t>
            </w:r>
          </w:p>
        </w:tc>
        <w:tc>
          <w:tcPr>
            <w:tcW w:type="dxa" w:w="1728"/>
          </w:tcPr>
          <w:p>
            <w:r>
              <w:rPr>
                <w:rFonts w:ascii="Calibri" w:hAnsi="Calibri"/>
                <w:sz w:val="22"/>
              </w:rPr>
              <w:t>110.1</w:t>
            </w:r>
          </w:p>
        </w:tc>
        <w:tc>
          <w:tcPr>
            <w:tcW w:type="dxa" w:w="1728"/>
          </w:tcPr>
          <w:p>
            <w:r>
              <w:rPr>
                <w:rFonts w:ascii="Calibri" w:hAnsi="Calibri"/>
                <w:sz w:val="22"/>
              </w:rPr>
              <w:t>103.5</w:t>
            </w:r>
          </w:p>
        </w:tc>
        <w:tc>
          <w:tcPr>
            <w:tcW w:type="dxa" w:w="1728"/>
          </w:tcPr>
          <w:p>
            <w:r>
              <w:rPr>
                <w:rFonts w:ascii="Calibri" w:hAnsi="Calibri"/>
                <w:sz w:val="22"/>
              </w:rPr>
              <w:t>104.5</w:t>
            </w:r>
          </w:p>
        </w:tc>
      </w:tr>
      <w:tr>
        <w:tc>
          <w:tcPr>
            <w:tcW w:type="dxa" w:w="1728"/>
          </w:tcPr>
          <w:p>
            <w:r>
              <w:rPr>
                <w:rFonts w:ascii="Calibri" w:hAnsi="Calibri"/>
                <w:sz w:val="22"/>
              </w:rPr>
              <w:t>Aug 4, 2026 (Earnings Day / Latest)</w:t>
            </w:r>
          </w:p>
        </w:tc>
        <w:tc>
          <w:tcPr>
            <w:tcW w:type="dxa" w:w="1728"/>
          </w:tcPr>
          <w:p>
            <w:r>
              <w:rPr>
                <w:rFonts w:ascii="Calibri" w:hAnsi="Calibri"/>
                <w:sz w:val="22"/>
              </w:rPr>
              <w:t>$25.41</w:t>
            </w:r>
          </w:p>
        </w:tc>
        <w:tc>
          <w:tcPr>
            <w:tcW w:type="dxa" w:w="1728"/>
          </w:tcPr>
          <w:p>
            <w:r>
              <w:rPr>
                <w:rFonts w:ascii="Calibri" w:hAnsi="Calibri"/>
                <w:sz w:val="22"/>
              </w:rPr>
              <w:t>107.5</w:t>
            </w:r>
          </w:p>
        </w:tc>
        <w:tc>
          <w:tcPr>
            <w:tcW w:type="dxa" w:w="1728"/>
          </w:tcPr>
          <w:p>
            <w:r>
              <w:rPr>
                <w:rFonts w:ascii="Calibri" w:hAnsi="Calibri"/>
                <w:sz w:val="22"/>
              </w:rPr>
              <w:t>102.5</w:t>
            </w:r>
          </w:p>
        </w:tc>
        <w:tc>
          <w:tcPr>
            <w:tcW w:type="dxa" w:w="1728"/>
          </w:tcPr>
          <w:p>
            <w:r>
              <w:rPr>
                <w:rFonts w:ascii="Calibri" w:hAnsi="Calibri"/>
                <w:sz w:val="22"/>
              </w:rPr>
              <w:t>105.4</w:t>
            </w:r>
          </w:p>
        </w:tc>
      </w:tr>
    </w:tbl>
    <w:p>
      <w:r>
        <w:rPr>
          <w:rFonts w:ascii="Calibri" w:hAnsi="Calibri"/>
          <w:color w:val="525866"/>
          <w:sz w:val="22"/>
        </w:rPr>
        <w:t>Source: Yahoo Finance / Stock Price Data. IYR (iShares U.S. Real Estate ETF) used as sector benchmark — appropriate for retail REIT sub-sector given broad REIT coverage including shopping center names. NTM EV/EBITDA multiple data from internal stock performance decomposition analysis.</w:t>
      </w:r>
    </w:p>
    <w:p>
      <w:r>
        <w:br w:type="page"/>
      </w:r>
    </w:p>
    <w:p>
      <w:pPr>
        <w:pStyle w:val="Heading1"/>
        <w:pBdr>
          <w:bottom w:val="single" w:sz="4" w:space="1" w:color="FB9120"/>
        </w:pBdr>
      </w:pPr>
      <w:r>
        <w:rPr>
          <w:rFonts w:ascii="Calibri" w:hAnsi="Calibri"/>
          <w:b/>
          <w:color w:val="3B4259"/>
          <w:sz w:val="40"/>
        </w:rPr>
        <w:t>6. Peer Commentary &amp; Current-Quarter Read-Throughs</w:t>
      </w:r>
    </w:p>
    <w:p>
      <w:r>
        <w:rPr>
          <w:rFonts w:ascii="Calibri" w:hAnsi="Calibri"/>
          <w:b/>
          <w:color w:val="525866"/>
          <w:sz w:val="22"/>
        </w:rPr>
        <w:t xml:space="preserve">Key Takeaway: </w:t>
      </w:r>
      <w:r>
        <w:rPr>
          <w:rFonts w:ascii="Calibri" w:hAnsi="Calibri"/>
          <w:color w:val="525866"/>
          <w:sz w:val="22"/>
        </w:rPr>
        <w:t xml:space="preserve">Every open-air shopping center REIT that has reported 2Q 2026 results raised same-site NOI guidance and cited </w:t>
      </w:r>
      <w:r>
        <w:rPr>
          <w:rFonts w:ascii="Calibri" w:hAnsi="Calibri"/>
          <w:b/>
          <w:color w:val="525866"/>
          <w:sz w:val="22"/>
        </w:rPr>
        <w:t>record or near-record leasing activity, strong rent spreads, and healthy tenant credit</w:t>
      </w:r>
      <w:r>
        <w:rPr>
          <w:rFonts w:ascii="Calibri" w:hAnsi="Calibri"/>
          <w:color w:val="525866"/>
          <w:sz w:val="22"/>
        </w:rPr>
        <w:t xml:space="preserve"> — a uniformly positive read-through for KIM’s 2Q print and 2H 2026 acceleration thesis.</w:t>
      </w:r>
    </w:p>
    <w:p>
      <w:r>
        <w:rPr>
          <w:rFonts w:ascii="Calibri" w:hAnsi="Calibri"/>
          <w:i/>
          <w:color w:val="525866"/>
          <w:sz w:val="22"/>
        </w:rPr>
        <w:t>Note: Only peer commentary from the last 60 days (June 3 – August 3, 2026) addressing 2Q 2026 results or current-quarter outlook is included below. Prior-quarter earnings commentary has been excluded.</w:t>
      </w:r>
    </w:p>
    <w:p>
      <w:pPr>
        <w:pStyle w:val="Heading2"/>
      </w:pPr>
      <w:r>
        <w:rPr>
          <w:rFonts w:ascii="Calibri" w:hAnsi="Calibri"/>
          <w:b/>
          <w:color w:val="3B4259"/>
          <w:sz w:val="28"/>
        </w:rPr>
        <w:t>Regency Centers (REG) — 2Q 2026 Earnings (Reported July 29–30, 2026)</w:t>
      </w:r>
    </w:p>
    <w:p>
      <w:r>
        <w:rPr>
          <w:rFonts w:ascii="Calibri" w:hAnsi="Calibri"/>
          <w:b/>
          <w:color w:val="525866"/>
          <w:sz w:val="22"/>
        </w:rPr>
        <w:t xml:space="preserve">Read-Through Rating: </w:t>
      </w:r>
      <w:r>
        <w:rPr>
          <w:rFonts w:ascii="Calibri" w:hAnsi="Calibri"/>
          <w:b/>
          <w:color w:val="30A46C"/>
          <w:sz w:val="22"/>
        </w:rPr>
        <w:t>Strongly Positive</w:t>
      </w:r>
    </w:p>
    <w:p>
      <w:pPr>
        <w:pStyle w:val="ListBullet"/>
        <w:ind w:left="360" w:hanging="360"/>
      </w:pPr>
      <w:r>
        <w:rPr>
          <w:rFonts w:ascii="Calibri" w:hAnsi="Calibri"/>
          <w:b/>
          <w:color w:val="525866"/>
          <w:sz w:val="22"/>
        </w:rPr>
        <w:t xml:space="preserve">Leasing &amp; Rent Spreads: </w:t>
      </w:r>
      <w:r>
        <w:rPr>
          <w:rFonts w:ascii="Calibri" w:hAnsi="Calibri"/>
          <w:color w:val="525866"/>
          <w:sz w:val="22"/>
        </w:rPr>
        <w:t xml:space="preserve">REG reported cash rent spreads above 10% and GAAP spreads of nearly 20% in 2Q 2026, with more than 80% of new shop leases including annual rent bumps of 3%+. Anchor tenants, while slower to adopt annual escalators, are now accepting 5-year increment bumps and showing larger rent spreads than previously. </w:t>
      </w:r>
    </w:p>
    <w:p>
      <w:pPr>
        <w:pStyle w:val="ListBullet"/>
        <w:ind w:left="360" w:hanging="360"/>
      </w:pPr>
      <w:r>
        <w:rPr>
          <w:rFonts w:ascii="Calibri" w:hAnsi="Calibri"/>
          <w:b/>
          <w:color w:val="525866"/>
          <w:sz w:val="22"/>
        </w:rPr>
        <w:t xml:space="preserve">Occupancy: </w:t>
      </w:r>
      <w:r>
        <w:rPr>
          <w:rFonts w:ascii="Calibri" w:hAnsi="Calibri"/>
          <w:color w:val="525866"/>
          <w:sz w:val="22"/>
        </w:rPr>
        <w:t>Same-property lease rate reached nearly 97% — a new high. Commenced occupancy increased 20 bps in the quarter, with the SNO pipeline providing visibility to further upside. In-process developments are nearly 80% leased.</w:t>
      </w:r>
    </w:p>
    <w:p>
      <w:pPr>
        <w:pStyle w:val="ListBullet"/>
        <w:ind w:left="360" w:hanging="360"/>
      </w:pPr>
      <w:r>
        <w:rPr>
          <w:rFonts w:ascii="Calibri" w:hAnsi="Calibri"/>
          <w:b/>
          <w:color w:val="525866"/>
          <w:sz w:val="22"/>
        </w:rPr>
        <w:t xml:space="preserve">Same-Site NOI: </w:t>
      </w:r>
      <w:r>
        <w:rPr>
          <w:rFonts w:ascii="Calibri" w:hAnsi="Calibri"/>
          <w:color w:val="525866"/>
          <w:sz w:val="22"/>
        </w:rPr>
        <w:t>REG delivered 3.8% same-property NOI growth in 2Q 2026, with base rent as the primary driver. Full-year same-property NOI guidance raised 40 bps at the midpoint; revised outlook now reflects total NOI growth in the mid-6% area and core operating EPS growth exceeding 5%.</w:t>
      </w:r>
    </w:p>
    <w:p>
      <w:pPr>
        <w:pStyle w:val="ListBullet"/>
        <w:ind w:left="360" w:hanging="360"/>
      </w:pPr>
      <w:r>
        <w:rPr>
          <w:rFonts w:ascii="Calibri" w:hAnsi="Calibri"/>
          <w:b/>
          <w:color w:val="525866"/>
          <w:sz w:val="22"/>
        </w:rPr>
        <w:t xml:space="preserve">Tenant Credit: </w:t>
      </w:r>
      <w:r>
        <w:rPr>
          <w:rFonts w:ascii="Calibri" w:hAnsi="Calibri"/>
          <w:color w:val="525866"/>
          <w:sz w:val="22"/>
        </w:rPr>
        <w:t>Accounts receivables remain below historical averages, confirming a very healthy tenant base. One major EV operator exited 11 locations (financially sound, paid 4 years of rent as termination fee); 8 of 11 already in backfill discussions. Non-cash revenue headwind from straight-line rent reserves, but cash earnings are growing.</w:t>
      </w:r>
    </w:p>
    <w:p>
      <w:pPr>
        <w:pStyle w:val="ListBullet"/>
        <w:ind w:left="360" w:hanging="360"/>
      </w:pPr>
      <w:r>
        <w:rPr>
          <w:rFonts w:ascii="Calibri" w:hAnsi="Calibri"/>
          <w:b/>
          <w:color w:val="525866"/>
          <w:sz w:val="22"/>
        </w:rPr>
        <w:t xml:space="preserve">KIM Read-Through: </w:t>
      </w:r>
      <w:r>
        <w:rPr>
          <w:rFonts w:ascii="Calibri" w:hAnsi="Calibri"/>
          <w:color w:val="525866"/>
          <w:sz w:val="22"/>
        </w:rPr>
        <w:t>REG’s raised guidance and record occupancy directly validate KIM’s 2H same-site NOI acceleration thesis. The 3%+ annual rent bump penetration in new shop leases is a positive structural signal for KIM’s embedded rent growth trajectory.</w:t>
      </w:r>
    </w:p>
    <w:p>
      <w:pPr>
        <w:pStyle w:val="Heading2"/>
      </w:pPr>
      <w:r>
        <w:rPr>
          <w:rFonts w:ascii="Calibri" w:hAnsi="Calibri"/>
          <w:b/>
          <w:color w:val="3B4259"/>
          <w:sz w:val="28"/>
        </w:rPr>
        <w:t>Brixmor Property Group (BRX) — 2Q 2026 Earnings (Reported July 27–28, 2026)</w:t>
      </w:r>
    </w:p>
    <w:p>
      <w:r>
        <w:rPr>
          <w:rFonts w:ascii="Calibri" w:hAnsi="Calibri"/>
          <w:b/>
          <w:color w:val="525866"/>
          <w:sz w:val="22"/>
        </w:rPr>
        <w:t xml:space="preserve">Read-Through Rating: </w:t>
      </w:r>
      <w:r>
        <w:rPr>
          <w:rFonts w:ascii="Calibri" w:hAnsi="Calibri"/>
          <w:b/>
          <w:color w:val="30A46C"/>
          <w:sz w:val="22"/>
        </w:rPr>
        <w:t>Strongly Positive</w:t>
      </w:r>
    </w:p>
    <w:p>
      <w:pPr>
        <w:pStyle w:val="ListBullet"/>
        <w:ind w:left="360" w:hanging="360"/>
      </w:pPr>
      <w:r>
        <w:rPr>
          <w:rFonts w:ascii="Calibri" w:hAnsi="Calibri"/>
          <w:b/>
          <w:color w:val="525866"/>
          <w:sz w:val="22"/>
        </w:rPr>
        <w:t xml:space="preserve">Leasing &amp; Rent Spreads: </w:t>
      </w:r>
      <w:r>
        <w:rPr>
          <w:rFonts w:ascii="Calibri" w:hAnsi="Calibri"/>
          <w:color w:val="525866"/>
          <w:sz w:val="22"/>
        </w:rPr>
        <w:t>BRX reported blended cash spreads of 19% (new leases: 31%, renewals: 16%) — new lease spreads have remained above 30% for three consecutive years. Record embedded rent growth of 2.8% across new and renewal leases vs. 1.6% in-place portfolio average. Anchors expiring at ~$11/sf are being re-leased at ~$18/sf.</w:t>
      </w:r>
    </w:p>
    <w:p>
      <w:pPr>
        <w:pStyle w:val="ListBullet"/>
        <w:ind w:left="360" w:hanging="360"/>
      </w:pPr>
      <w:r>
        <w:rPr>
          <w:rFonts w:ascii="Calibri" w:hAnsi="Calibri"/>
          <w:b/>
          <w:color w:val="525866"/>
          <w:sz w:val="22"/>
        </w:rPr>
        <w:t xml:space="preserve">Occupancy &amp; SNO: </w:t>
      </w:r>
      <w:r>
        <w:rPr>
          <w:rFonts w:ascii="Calibri" w:hAnsi="Calibri"/>
          <w:color w:val="525866"/>
          <w:sz w:val="22"/>
        </w:rPr>
        <w:t>Total leased occupancy of 94.8% (down 30 bps sequentially as expected due to strategic recaptures). Small shop occupancy hit a new record at 92.6%. SNO pipeline reached a record $71M of annualized base rent, with a significant portion commencing in 2027+. BRX expects $29M of rent to commence in 2H 2026 and ~$37M in 2027.</w:t>
      </w:r>
    </w:p>
    <w:p>
      <w:pPr>
        <w:pStyle w:val="ListBullet"/>
        <w:ind w:left="360" w:hanging="360"/>
      </w:pPr>
      <w:r>
        <w:rPr>
          <w:rFonts w:ascii="Calibri" w:hAnsi="Calibri"/>
          <w:b/>
          <w:color w:val="525866"/>
          <w:sz w:val="22"/>
        </w:rPr>
        <w:t xml:space="preserve">Same-Site NOI: </w:t>
      </w:r>
      <w:r>
        <w:rPr>
          <w:rFonts w:ascii="Calibri" w:hAnsi="Calibri"/>
          <w:color w:val="525866"/>
          <w:sz w:val="22"/>
        </w:rPr>
        <w:t>BRX delivered 5.8% same-property NOI growth in 2Q 2026, driven by a 440 bps contribution from base rent. Full-year same-property NOI guidance raised to 5.0–5.75%; FFO guidance raised to $2.35–$2.37/share.</w:t>
      </w:r>
    </w:p>
    <w:p>
      <w:pPr>
        <w:pStyle w:val="ListBullet"/>
        <w:ind w:left="360" w:hanging="360"/>
      </w:pPr>
      <w:r>
        <w:rPr>
          <w:rFonts w:ascii="Calibri" w:hAnsi="Calibri"/>
          <w:b/>
          <w:color w:val="525866"/>
          <w:sz w:val="22"/>
        </w:rPr>
        <w:t xml:space="preserve">Tenant Credit: </w:t>
      </w:r>
      <w:r>
        <w:rPr>
          <w:rFonts w:ascii="Calibri" w:hAnsi="Calibri"/>
          <w:color w:val="525866"/>
          <w:sz w:val="22"/>
        </w:rPr>
        <w:t>Small shop move-outs year-to-date at record lows; retention rates up 300 bps year-over-year. Uncollectible revenue guidance tightened to 60–85 bps of total revenues. Management described this as "the strongest underlying tenant base the company has ever had."</w:t>
      </w:r>
    </w:p>
    <w:p>
      <w:pPr>
        <w:pStyle w:val="ListBullet"/>
        <w:ind w:left="360" w:hanging="360"/>
      </w:pPr>
      <w:r>
        <w:rPr>
          <w:rFonts w:ascii="Calibri" w:hAnsi="Calibri"/>
          <w:b/>
          <w:color w:val="525866"/>
          <w:sz w:val="22"/>
        </w:rPr>
        <w:t xml:space="preserve">KIM Read-Through: </w:t>
      </w:r>
      <w:r>
        <w:rPr>
          <w:rFonts w:ascii="Calibri" w:hAnsi="Calibri"/>
          <w:color w:val="525866"/>
          <w:sz w:val="22"/>
        </w:rPr>
        <w:t>BRX’s record SNO pipeline ($71M) and 5.8% SPNOI growth directly validate KIM’s own record $77M SNO pipeline and 2H acceleration thesis. Record low small shop move-outs and improving retention are positive signals for KIM’s small shop occupancy trajectory.</w:t>
      </w:r>
    </w:p>
    <w:p>
      <w:pPr>
        <w:pStyle w:val="Heading2"/>
      </w:pPr>
      <w:r>
        <w:rPr>
          <w:rFonts w:ascii="Calibri" w:hAnsi="Calibri"/>
          <w:b/>
          <w:color w:val="3B4259"/>
          <w:sz w:val="28"/>
        </w:rPr>
        <w:t>Phillips Edison &amp; Company (PECO) — 2Q 2026 Earnings (Reported July 23–24, 2026)</w:t>
      </w:r>
    </w:p>
    <w:p>
      <w:r>
        <w:rPr>
          <w:rFonts w:ascii="Calibri" w:hAnsi="Calibri"/>
          <w:b/>
          <w:color w:val="525866"/>
          <w:sz w:val="22"/>
        </w:rPr>
        <w:t xml:space="preserve">Read-Through Rating: </w:t>
      </w:r>
      <w:r>
        <w:rPr>
          <w:rFonts w:ascii="Calibri" w:hAnsi="Calibri"/>
          <w:b/>
          <w:color w:val="30A46C"/>
          <w:sz w:val="22"/>
        </w:rPr>
        <w:t>Positive</w:t>
      </w:r>
    </w:p>
    <w:p>
      <w:pPr>
        <w:pStyle w:val="ListBullet"/>
        <w:ind w:left="360" w:hanging="360"/>
      </w:pPr>
      <w:r>
        <w:rPr>
          <w:rFonts w:ascii="Calibri" w:hAnsi="Calibri"/>
          <w:b/>
          <w:color w:val="525866"/>
          <w:sz w:val="22"/>
        </w:rPr>
        <w:t xml:space="preserve">Leasing &amp; Rent Spreads: </w:t>
      </w:r>
      <w:r>
        <w:rPr>
          <w:rFonts w:ascii="Calibri" w:hAnsi="Calibri"/>
          <w:color w:val="525866"/>
          <w:sz w:val="22"/>
        </w:rPr>
        <w:t>PECO reported a record high number of leases in 2Q 2026, with comparable renewal spreads of 21.2% and new lease spreads of 33.7%. Inline leasing deals averaged record high annual rent bumps of 3.1%. A 25% increase in overall leases completed vs. 1Q 2026 demonstrates strong momentum.</w:t>
      </w:r>
    </w:p>
    <w:p>
      <w:pPr>
        <w:pStyle w:val="ListBullet"/>
        <w:ind w:left="360" w:hanging="360"/>
      </w:pPr>
      <w:r>
        <w:rPr>
          <w:rFonts w:ascii="Calibri" w:hAnsi="Calibri"/>
          <w:b/>
          <w:color w:val="525866"/>
          <w:sz w:val="22"/>
        </w:rPr>
        <w:t xml:space="preserve">Occupancy: </w:t>
      </w:r>
      <w:r>
        <w:rPr>
          <w:rFonts w:ascii="Calibri" w:hAnsi="Calibri"/>
          <w:color w:val="525866"/>
          <w:sz w:val="22"/>
        </w:rPr>
        <w:t>Leased portfolio occupancy of 97.3%; leased inline occupancy hit a record high of 95.5%; economic inline occupancy also a record at 94.8%. PECO projects a further 100 bps increase in inline occupancy and 50–60 bps in anchor occupancy by year-end.</w:t>
      </w:r>
    </w:p>
    <w:p>
      <w:pPr>
        <w:pStyle w:val="ListBullet"/>
        <w:ind w:left="360" w:hanging="360"/>
      </w:pPr>
      <w:r>
        <w:rPr>
          <w:rFonts w:ascii="Calibri" w:hAnsi="Calibri"/>
          <w:b/>
          <w:color w:val="525866"/>
          <w:sz w:val="22"/>
        </w:rPr>
        <w:t xml:space="preserve">Same-Site NOI: </w:t>
      </w:r>
      <w:r>
        <w:rPr>
          <w:rFonts w:ascii="Calibri" w:hAnsi="Calibri"/>
          <w:color w:val="525866"/>
          <w:sz w:val="22"/>
        </w:rPr>
        <w:t>PECO delivered 3.8% same-center NOI growth in 2Q 2026. Full-year same-center NOI guidance updated to 3.7% at the midpoint (upper range of 3–4% long-term target). Full-year FFO and Core FFO guidance raised, reflecting 6.3% and 6.2% growth over 2025, respectively.</w:t>
      </w:r>
    </w:p>
    <w:p>
      <w:pPr>
        <w:pStyle w:val="ListBullet"/>
        <w:ind w:left="360" w:hanging="360"/>
      </w:pPr>
      <w:r>
        <w:rPr>
          <w:rFonts w:ascii="Calibri" w:hAnsi="Calibri"/>
          <w:b/>
          <w:color w:val="525866"/>
          <w:sz w:val="22"/>
        </w:rPr>
        <w:t xml:space="preserve">Tenant Credit: </w:t>
      </w:r>
      <w:r>
        <w:rPr>
          <w:rFonts w:ascii="Calibri" w:hAnsi="Calibri"/>
          <w:color w:val="525866"/>
          <w:sz w:val="22"/>
        </w:rPr>
        <w:t>Bad debt in 2Q 2026 was lower than expected at ~70 bps of revenue. Full-year bad debt guidance lowered to in-line or slightly better than 2025. Tenant credit trends described as healthy.</w:t>
      </w:r>
    </w:p>
    <w:p>
      <w:pPr>
        <w:pStyle w:val="ListBullet"/>
        <w:ind w:left="360" w:hanging="360"/>
      </w:pPr>
      <w:r>
        <w:rPr>
          <w:rFonts w:ascii="Calibri" w:hAnsi="Calibri"/>
          <w:b/>
          <w:color w:val="525866"/>
          <w:sz w:val="22"/>
        </w:rPr>
        <w:t xml:space="preserve">Consumer Demand: </w:t>
      </w:r>
      <w:r>
        <w:rPr>
          <w:rFonts w:ascii="Calibri" w:hAnsi="Calibri"/>
          <w:color w:val="525866"/>
          <w:sz w:val="22"/>
        </w:rPr>
        <w:t>Centers generated 2% year-over-year traffic growth in June and 2% year-to-date. Grocers (Kroger, Walmart, Albertsons) are reinvesting in price, sensing some consumer weakness on branded vs. private label trade-down, but PECO is not seeing it on the ground. Kroger’s announced acquisition of Giant Eagle cited as a positive indicator for grocery-anchored sector long-term strength.</w:t>
      </w:r>
    </w:p>
    <w:p>
      <w:pPr>
        <w:pStyle w:val="ListBullet"/>
        <w:ind w:left="360" w:hanging="360"/>
      </w:pPr>
      <w:r>
        <w:rPr>
          <w:rFonts w:ascii="Calibri" w:hAnsi="Calibri"/>
          <w:b/>
          <w:color w:val="525866"/>
          <w:sz w:val="22"/>
        </w:rPr>
        <w:t xml:space="preserve">KIM Read-Through: </w:t>
      </w:r>
      <w:r>
        <w:rPr>
          <w:rFonts w:ascii="Calibri" w:hAnsi="Calibri"/>
          <w:color w:val="525866"/>
          <w:sz w:val="22"/>
        </w:rPr>
        <w:t>PECO’s record inline occupancy and 33.7% new lease spreads confirm the pricing power environment KIM is operating in. The grocer reinvestment-in-price dynamic is worth monitoring for KIM’s grocery-anchored traffic, though foot traffic data remains positive.</w:t>
      </w:r>
    </w:p>
    <w:p>
      <w:pPr>
        <w:pStyle w:val="Heading2"/>
      </w:pPr>
      <w:r>
        <w:rPr>
          <w:rFonts w:ascii="Calibri" w:hAnsi="Calibri"/>
          <w:b/>
          <w:color w:val="3B4259"/>
          <w:sz w:val="28"/>
        </w:rPr>
        <w:t>Kite Realty Group (KRG) — 2Q 2026 Earnings (Reported July 30, 2026)</w:t>
      </w:r>
    </w:p>
    <w:p>
      <w:r>
        <w:rPr>
          <w:rFonts w:ascii="Calibri" w:hAnsi="Calibri"/>
          <w:b/>
          <w:color w:val="525866"/>
          <w:sz w:val="22"/>
        </w:rPr>
        <w:t xml:space="preserve">Read-Through Rating: </w:t>
      </w:r>
      <w:r>
        <w:rPr>
          <w:rFonts w:ascii="Calibri" w:hAnsi="Calibri"/>
          <w:b/>
          <w:color w:val="30A46C"/>
          <w:sz w:val="22"/>
        </w:rPr>
        <w:t>Positive</w:t>
      </w:r>
    </w:p>
    <w:p>
      <w:pPr>
        <w:pStyle w:val="ListBullet"/>
        <w:ind w:left="360" w:hanging="360"/>
      </w:pPr>
      <w:r>
        <w:rPr>
          <w:rFonts w:ascii="Calibri" w:hAnsi="Calibri"/>
          <w:b/>
          <w:color w:val="525866"/>
          <w:sz w:val="22"/>
        </w:rPr>
        <w:t xml:space="preserve">Leasing &amp; Rent Spreads: </w:t>
      </w:r>
      <w:r>
        <w:rPr>
          <w:rFonts w:ascii="Calibri" w:hAnsi="Calibri"/>
          <w:color w:val="525866"/>
          <w:sz w:val="22"/>
        </w:rPr>
        <w:t>KRG executed 128 new and renewal leases (~1M sq ft) with blended cash spreads of 15.9% (new leases: 28.4%). Renewal rents averaged ~$28/sf and new rents ~$30/sf against a $23 average portfolio rent. Embedded rent growth climbed to 185 bps, up ~30 bps since the start of 2024.</w:t>
      </w:r>
    </w:p>
    <w:p>
      <w:pPr>
        <w:pStyle w:val="ListBullet"/>
        <w:ind w:left="360" w:hanging="360"/>
      </w:pPr>
      <w:r>
        <w:rPr>
          <w:rFonts w:ascii="Calibri" w:hAnsi="Calibri"/>
          <w:b/>
          <w:color w:val="525866"/>
          <w:sz w:val="22"/>
        </w:rPr>
        <w:t xml:space="preserve">Occupancy &amp; SNO: </w:t>
      </w:r>
      <w:r>
        <w:rPr>
          <w:rFonts w:ascii="Calibri" w:hAnsi="Calibri"/>
          <w:color w:val="525866"/>
          <w:sz w:val="22"/>
        </w:rPr>
        <w:t>Lease rate reached 94.8%, up 150 bps year-over-year, led by a 210 bps improvement in anchor lease rate. SNO pipeline increased to ~$37M of NOI (350 bps spread between leased and occupied rates). Economic occupancy of 91.2% is ~250 bps below historic highs, indicating meaningful upside runway.</w:t>
      </w:r>
    </w:p>
    <w:p>
      <w:pPr>
        <w:pStyle w:val="ListBullet"/>
        <w:ind w:left="360" w:hanging="360"/>
      </w:pPr>
      <w:r>
        <w:rPr>
          <w:rFonts w:ascii="Calibri" w:hAnsi="Calibri"/>
          <w:b/>
          <w:color w:val="525866"/>
          <w:sz w:val="22"/>
        </w:rPr>
        <w:t xml:space="preserve">Same-Site NOI: </w:t>
      </w:r>
      <w:r>
        <w:rPr>
          <w:rFonts w:ascii="Calibri" w:hAnsi="Calibri"/>
          <w:color w:val="525866"/>
          <w:sz w:val="22"/>
        </w:rPr>
        <w:t>Same-property NOI grew 3.7% in 2Q 2026, meaningfully outperforming internal estimates. Outperformance was broad-based: better tenant retention, lower bad debt, higher average rent, and stronger net recoveries. Full-year same-property NOI guidance raised 50 bps at the midpoint to 3–4%.</w:t>
      </w:r>
    </w:p>
    <w:p>
      <w:pPr>
        <w:pStyle w:val="ListBullet"/>
        <w:ind w:left="360" w:hanging="360"/>
      </w:pPr>
      <w:r>
        <w:rPr>
          <w:rFonts w:ascii="Calibri" w:hAnsi="Calibri"/>
          <w:b/>
          <w:color w:val="525866"/>
          <w:sz w:val="22"/>
        </w:rPr>
        <w:t xml:space="preserve">Tenant Credit: </w:t>
      </w:r>
      <w:r>
        <w:rPr>
          <w:rFonts w:ascii="Calibri" w:hAnsi="Calibri"/>
          <w:color w:val="525866"/>
          <w:sz w:val="22"/>
        </w:rPr>
        <w:t>Tenant roster increasingly concentrated in durable, high-credit operators; grocers now represent a third of the top 15 tenant list. Full-year bad debt reserve of 90 bps at the midpoint (100 bps assumed for 2H). KRG’s Project Elevate eliminated 58 at-risk tenant locations.</w:t>
      </w:r>
    </w:p>
    <w:p>
      <w:pPr>
        <w:pStyle w:val="ListBullet"/>
        <w:ind w:left="360" w:hanging="360"/>
      </w:pPr>
      <w:r>
        <w:rPr>
          <w:rFonts w:ascii="Calibri" w:hAnsi="Calibri"/>
          <w:b/>
          <w:color w:val="525866"/>
          <w:sz w:val="22"/>
        </w:rPr>
        <w:t xml:space="preserve">KIM Read-Through: </w:t>
      </w:r>
      <w:r>
        <w:rPr>
          <w:rFonts w:ascii="Calibri" w:hAnsi="Calibri"/>
          <w:color w:val="525866"/>
          <w:sz w:val="22"/>
        </w:rPr>
        <w:t>KRG’s broad-based SPNOI outperformance and raised guidance reinforce the sector-wide 2H acceleration theme. The 210 bps anchor lease rate improvement is particularly relevant for KIM, which is ~110 bps below its all-time high in anchor occupancy.</w:t>
      </w:r>
    </w:p>
    <w:p>
      <w:pPr>
        <w:pStyle w:val="Heading2"/>
      </w:pPr>
      <w:r>
        <w:rPr>
          <w:rFonts w:ascii="Calibri" w:hAnsi="Calibri"/>
          <w:b/>
          <w:color w:val="3B4259"/>
          <w:sz w:val="28"/>
        </w:rPr>
        <w:t>InvenTrust Properties (IVT) — 2Q 2026 Earnings (Reported August 3, 2026)</w:t>
      </w:r>
    </w:p>
    <w:p>
      <w:r>
        <w:rPr>
          <w:rFonts w:ascii="Calibri" w:hAnsi="Calibri"/>
          <w:b/>
          <w:color w:val="525866"/>
          <w:sz w:val="22"/>
        </w:rPr>
        <w:t xml:space="preserve">Read-Through Rating: </w:t>
      </w:r>
      <w:r>
        <w:rPr>
          <w:rFonts w:ascii="Calibri" w:hAnsi="Calibri"/>
          <w:b/>
          <w:color w:val="30A46C"/>
          <w:sz w:val="22"/>
        </w:rPr>
        <w:t>Positive</w:t>
      </w:r>
    </w:p>
    <w:p>
      <w:pPr>
        <w:pStyle w:val="ListBullet"/>
        <w:ind w:left="360" w:hanging="360"/>
      </w:pPr>
      <w:r>
        <w:rPr>
          <w:rFonts w:ascii="Calibri" w:hAnsi="Calibri"/>
          <w:b/>
          <w:color w:val="525866"/>
          <w:sz w:val="22"/>
        </w:rPr>
        <w:t xml:space="preserve">Leasing &amp; Rent Spreads: </w:t>
      </w:r>
      <w:r>
        <w:rPr>
          <w:rFonts w:ascii="Calibri" w:hAnsi="Calibri"/>
          <w:color w:val="525866"/>
          <w:sz w:val="22"/>
        </w:rPr>
        <w:t>IVT executed 76 leases (~464K sq ft) with blended comparable lease spreads of 8.5%. ABR per square foot increased 3.8% year-over-year to $20.94. Small Shop ABR PSF of $34.26 reflects strong pricing in the small shop segment.</w:t>
      </w:r>
    </w:p>
    <w:p>
      <w:pPr>
        <w:pStyle w:val="ListBullet"/>
        <w:ind w:left="360" w:hanging="360"/>
      </w:pPr>
      <w:r>
        <w:rPr>
          <w:rFonts w:ascii="Calibri" w:hAnsi="Calibri"/>
          <w:b/>
          <w:color w:val="525866"/>
          <w:sz w:val="22"/>
        </w:rPr>
        <w:t xml:space="preserve">Occupancy &amp; SNO: </w:t>
      </w:r>
      <w:r>
        <w:rPr>
          <w:rFonts w:ascii="Calibri" w:hAnsi="Calibri"/>
          <w:color w:val="525866"/>
          <w:sz w:val="22"/>
        </w:rPr>
        <w:t>Leased occupancy of 96.2%; anchor leased occupancy of 98.1%; small shop leased occupancy of 93.2% (up 30 bps sequentially). Leased-to-economic occupancy spread of 160 bps equates to ~$5.6M of annualized base rent yet to commence.</w:t>
      </w:r>
    </w:p>
    <w:p>
      <w:pPr>
        <w:pStyle w:val="ListBullet"/>
        <w:ind w:left="360" w:hanging="360"/>
      </w:pPr>
      <w:r>
        <w:rPr>
          <w:rFonts w:ascii="Calibri" w:hAnsi="Calibri"/>
          <w:b/>
          <w:color w:val="525866"/>
          <w:sz w:val="22"/>
        </w:rPr>
        <w:t xml:space="preserve">Same-Site NOI: </w:t>
      </w:r>
      <w:r>
        <w:rPr>
          <w:rFonts w:ascii="Calibri" w:hAnsi="Calibri"/>
          <w:color w:val="525866"/>
          <w:sz w:val="22"/>
        </w:rPr>
        <w:t>IVT delivered same-property NOI growth of 4.1% in 2Q 2026 (accelerating from 3.3% in 1H 2026). CEO DJ Busch: "Same Property NOI growth accelerating to 4.1% and healthy leasing activity across our markets." Full-year SPNOI guidance maintained at 3.25–4.25%.</w:t>
      </w:r>
    </w:p>
    <w:p>
      <w:pPr>
        <w:pStyle w:val="ListBullet"/>
        <w:ind w:left="360" w:hanging="360"/>
      </w:pPr>
      <w:r>
        <w:rPr>
          <w:rFonts w:ascii="Calibri" w:hAnsi="Calibri"/>
          <w:b/>
          <w:color w:val="525866"/>
          <w:sz w:val="22"/>
        </w:rPr>
        <w:t xml:space="preserve">Acquisitions: </w:t>
      </w:r>
      <w:r>
        <w:rPr>
          <w:rFonts w:ascii="Calibri" w:hAnsi="Calibri"/>
          <w:color w:val="525866"/>
          <w:sz w:val="22"/>
        </w:rPr>
        <w:t>IVT acquired three properties in 2Q 2026 for $132.6M aggregate (Trader Joe’s-anchored in Charleston, SC; Fresh Market-anchored in Knoxville, TN; unanchored center in Charlotte, NC), deepening Sun Belt exposure. Post-quarter, acquired New Garden Crossing (Lowes Foods-anchored, Greensboro, NC) for $34M.</w:t>
      </w:r>
    </w:p>
    <w:p>
      <w:pPr>
        <w:pStyle w:val="ListBullet"/>
        <w:ind w:left="360" w:hanging="360"/>
      </w:pPr>
      <w:r>
        <w:rPr>
          <w:rFonts w:ascii="Calibri" w:hAnsi="Calibri"/>
          <w:b/>
          <w:color w:val="525866"/>
          <w:sz w:val="22"/>
        </w:rPr>
        <w:t xml:space="preserve">KIM Read-Through: </w:t>
      </w:r>
      <w:r>
        <w:rPr>
          <w:rFonts w:ascii="Calibri" w:hAnsi="Calibri"/>
          <w:color w:val="525866"/>
          <w:sz w:val="22"/>
        </w:rPr>
        <w:t>IVT’s 4.1% SPNOI acceleration and sequential small shop occupancy gain (+30 bps) are positive leading indicators for KIM’s own small shop occupancy trajectory. Active acquisition market for grocery-anchored assets validates KIM’s capital recycling strategy.</w:t>
      </w:r>
    </w:p>
    <w:p>
      <w:pPr>
        <w:pStyle w:val="Heading2"/>
      </w:pPr>
      <w:r>
        <w:rPr>
          <w:rFonts w:ascii="Calibri" w:hAnsi="Calibri"/>
          <w:b/>
          <w:color w:val="3B4259"/>
          <w:sz w:val="28"/>
        </w:rPr>
        <w:t>Federal Realty Investment Trust (FRT) — 2Q 2026 Earnings (Reported July 31, 2026)</w:t>
      </w:r>
    </w:p>
    <w:p>
      <w:r>
        <w:rPr>
          <w:rFonts w:ascii="Calibri" w:hAnsi="Calibri"/>
          <w:b/>
          <w:color w:val="525866"/>
          <w:sz w:val="22"/>
        </w:rPr>
        <w:t xml:space="preserve">Read-Through Rating: </w:t>
      </w:r>
      <w:r>
        <w:rPr>
          <w:rFonts w:ascii="Calibri" w:hAnsi="Calibri"/>
          <w:b/>
          <w:color w:val="30A46C"/>
          <w:sz w:val="22"/>
        </w:rPr>
        <w:t>Positive</w:t>
      </w:r>
    </w:p>
    <w:p>
      <w:pPr>
        <w:pStyle w:val="ListBullet"/>
        <w:ind w:left="360" w:hanging="360"/>
      </w:pPr>
      <w:r>
        <w:rPr>
          <w:rFonts w:ascii="Calibri" w:hAnsi="Calibri"/>
          <w:b/>
          <w:color w:val="525866"/>
          <w:sz w:val="22"/>
        </w:rPr>
        <w:t xml:space="preserve">Leasing &amp; Rent Spreads: </w:t>
      </w:r>
      <w:r>
        <w:rPr>
          <w:rFonts w:ascii="Calibri" w:hAnsi="Calibri"/>
          <w:color w:val="525866"/>
          <w:sz w:val="22"/>
        </w:rPr>
        <w:t>FRT signed 124 comparable deals for 819,000 sq ft in 2Q 2026 — the most comparable square footage in a single quarter in company history. Average first-year cash rent of $33.68, up 15% year-over-year. Trailing 12-month comparable rollover of 17% is the highest in any 12-month period in over 10 years.</w:t>
      </w:r>
    </w:p>
    <w:p>
      <w:pPr>
        <w:pStyle w:val="ListBullet"/>
        <w:ind w:left="360" w:hanging="360"/>
      </w:pPr>
      <w:r>
        <w:rPr>
          <w:rFonts w:ascii="Calibri" w:hAnsi="Calibri"/>
          <w:b/>
          <w:color w:val="525866"/>
          <w:sz w:val="22"/>
        </w:rPr>
        <w:t xml:space="preserve">Occupancy: </w:t>
      </w:r>
      <w:r>
        <w:rPr>
          <w:rFonts w:ascii="Calibri" w:hAnsi="Calibri"/>
          <w:color w:val="525866"/>
          <w:sz w:val="22"/>
        </w:rPr>
        <w:t>96% overall occupancy. Small shop portfolio reached 93.9% leased and 92.3% occupied — levels not seen since 2007. Net small shop occupancy increased 100 bps in the quarter. FRT forecasts overall occupied rate to spike to mid-to-upper 94% range by year-end.</w:t>
      </w:r>
    </w:p>
    <w:p>
      <w:pPr>
        <w:pStyle w:val="ListBullet"/>
        <w:ind w:left="360" w:hanging="360"/>
      </w:pPr>
      <w:r>
        <w:rPr>
          <w:rFonts w:ascii="Calibri" w:hAnsi="Calibri"/>
          <w:b/>
          <w:color w:val="525866"/>
          <w:sz w:val="22"/>
        </w:rPr>
        <w:t xml:space="preserve">Same-Site NOI: </w:t>
      </w:r>
      <w:r>
        <w:rPr>
          <w:rFonts w:ascii="Calibri" w:hAnsi="Calibri"/>
          <w:color w:val="525866"/>
          <w:sz w:val="22"/>
        </w:rPr>
        <w:t>Cash basis comparable growth of 4.2% in 2Q 2026 (4.6% year-to-date). Full-year cash comparable growth guidance raised to ~4–4.5% (up 35–40 bps). Core FFO guidance raised to $7.48–$7.56/share (6.5% growth vs. 2025).</w:t>
      </w:r>
    </w:p>
    <w:p>
      <w:pPr>
        <w:pStyle w:val="ListBullet"/>
        <w:ind w:left="360" w:hanging="360"/>
      </w:pPr>
      <w:r>
        <w:rPr>
          <w:rFonts w:ascii="Calibri" w:hAnsi="Calibri"/>
          <w:b/>
          <w:color w:val="525866"/>
          <w:sz w:val="22"/>
        </w:rPr>
        <w:t xml:space="preserve">Key Deals: </w:t>
      </w:r>
      <w:r>
        <w:rPr>
          <w:rFonts w:ascii="Calibri" w:hAnsi="Calibri"/>
          <w:color w:val="525866"/>
          <w:sz w:val="22"/>
        </w:rPr>
        <w:t>Bass Pro Shops signed a 20-year, 161K sq ft deal at Grossmont (replacing underperforming Macy’s); Harris Teeter signed a 79K sq ft expanded flagship at Barracks Road; Giant opened a new 45K sq ft grocery store at Andorra (small shop rents 16% over underwriting).</w:t>
      </w:r>
    </w:p>
    <w:p>
      <w:pPr>
        <w:pStyle w:val="ListBullet"/>
        <w:ind w:left="360" w:hanging="360"/>
      </w:pPr>
      <w:r>
        <w:rPr>
          <w:rFonts w:ascii="Calibri" w:hAnsi="Calibri"/>
          <w:b/>
          <w:color w:val="525866"/>
          <w:sz w:val="22"/>
        </w:rPr>
        <w:t xml:space="preserve">KIM Read-Through: </w:t>
      </w:r>
      <w:r>
        <w:rPr>
          <w:rFonts w:ascii="Calibri" w:hAnsi="Calibri"/>
          <w:color w:val="525866"/>
          <w:sz w:val="22"/>
        </w:rPr>
        <w:t>FRT’s record leasing volume and 15% year-over-year rent growth confirm the pricing power environment. The small shop occupancy push to 2007-era highs is a strong positive signal for KIM’s own small shop trajectory (currently 92.5%, targeting further gains).</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Report Date</w:t>
            </w:r>
          </w:p>
        </w:tc>
        <w:tc>
          <w:tcPr>
            <w:tcW w:type="dxa" w:w="1440"/>
            <w:shd w:val="clear" w:color="auto" w:fill="3B4259"/>
          </w:tcPr>
          <w:p>
            <w:r>
              <w:rPr>
                <w:rFonts w:ascii="Calibri" w:hAnsi="Calibri"/>
                <w:b/>
                <w:color w:val="FFFFFF"/>
                <w:sz w:val="22"/>
              </w:rPr>
              <w:t>2Q SPNOI Growth</w:t>
            </w:r>
          </w:p>
        </w:tc>
        <w:tc>
          <w:tcPr>
            <w:tcW w:type="dxa" w:w="1440"/>
            <w:shd w:val="clear" w:color="auto" w:fill="3B4259"/>
          </w:tcPr>
          <w:p>
            <w:r>
              <w:rPr>
                <w:rFonts w:ascii="Calibri" w:hAnsi="Calibri"/>
                <w:b/>
                <w:color w:val="FFFFFF"/>
                <w:sz w:val="22"/>
              </w:rPr>
              <w:t>New Lease Spreads</w:t>
            </w:r>
          </w:p>
        </w:tc>
        <w:tc>
          <w:tcPr>
            <w:tcW w:type="dxa" w:w="1440"/>
            <w:shd w:val="clear" w:color="auto" w:fill="3B4259"/>
          </w:tcPr>
          <w:p>
            <w:r>
              <w:rPr>
                <w:rFonts w:ascii="Calibri" w:hAnsi="Calibri"/>
                <w:b/>
                <w:color w:val="FFFFFF"/>
                <w:sz w:val="22"/>
              </w:rPr>
              <w:t>Guidance Action</w:t>
            </w:r>
          </w:p>
        </w:tc>
        <w:tc>
          <w:tcPr>
            <w:tcW w:type="dxa" w:w="1440"/>
            <w:shd w:val="clear" w:color="auto" w:fill="3B4259"/>
          </w:tcPr>
          <w:p>
            <w:r>
              <w:rPr>
                <w:rFonts w:ascii="Calibri" w:hAnsi="Calibri"/>
                <w:b/>
                <w:color w:val="FFFFFF"/>
                <w:sz w:val="22"/>
              </w:rPr>
              <w:t>KIM Read-Through</w:t>
            </w:r>
          </w:p>
        </w:tc>
      </w:tr>
      <w:tr>
        <w:tc>
          <w:tcPr>
            <w:tcW w:type="dxa" w:w="1440"/>
          </w:tcPr>
          <w:p>
            <w:r>
              <w:rPr>
                <w:rFonts w:ascii="Calibri" w:hAnsi="Calibri"/>
                <w:sz w:val="22"/>
              </w:rPr>
              <w:t>REG</w:t>
            </w:r>
          </w:p>
        </w:tc>
        <w:tc>
          <w:tcPr>
            <w:tcW w:type="dxa" w:w="1440"/>
          </w:tcPr>
          <w:p>
            <w:r>
              <w:rPr>
                <w:rFonts w:ascii="Calibri" w:hAnsi="Calibri"/>
                <w:sz w:val="22"/>
              </w:rPr>
              <w:t>Jul 29–30</w:t>
            </w:r>
          </w:p>
        </w:tc>
        <w:tc>
          <w:tcPr>
            <w:tcW w:type="dxa" w:w="1440"/>
          </w:tcPr>
          <w:p>
            <w:r>
              <w:rPr>
                <w:rFonts w:ascii="Calibri" w:hAnsi="Calibri"/>
                <w:sz w:val="22"/>
              </w:rPr>
              <w:t>3.8%</w:t>
            </w:r>
          </w:p>
        </w:tc>
        <w:tc>
          <w:tcPr>
            <w:tcW w:type="dxa" w:w="1440"/>
          </w:tcPr>
          <w:p>
            <w:r>
              <w:rPr>
                <w:rFonts w:ascii="Calibri" w:hAnsi="Calibri"/>
                <w:sz w:val="22"/>
              </w:rPr>
              <w:t>&gt;10% cash</w:t>
            </w:r>
          </w:p>
        </w:tc>
        <w:tc>
          <w:tcPr>
            <w:tcW w:type="dxa" w:w="1440"/>
          </w:tcPr>
          <w:p>
            <w:r>
              <w:rPr>
                <w:rFonts w:ascii="Calibri" w:hAnsi="Calibri"/>
                <w:sz w:val="22"/>
              </w:rPr>
              <w:t>↑ SPNOI +40 bps; Core EPS &gt;5% growth</w:t>
            </w:r>
          </w:p>
        </w:tc>
        <w:tc>
          <w:tcPr>
            <w:tcW w:type="dxa" w:w="1440"/>
          </w:tcPr>
          <w:p>
            <w:r>
              <w:rPr>
                <w:rFonts w:ascii="Calibri" w:hAnsi="Calibri"/>
                <w:b/>
                <w:color w:val="30A46C"/>
                <w:sz w:val="22"/>
              </w:rPr>
              <w:t>Strongly Positive</w:t>
            </w:r>
          </w:p>
        </w:tc>
      </w:tr>
      <w:tr>
        <w:tc>
          <w:tcPr>
            <w:tcW w:type="dxa" w:w="1440"/>
          </w:tcPr>
          <w:p>
            <w:r>
              <w:rPr>
                <w:rFonts w:ascii="Calibri" w:hAnsi="Calibri"/>
                <w:sz w:val="22"/>
              </w:rPr>
              <w:t>BRX</w:t>
            </w:r>
          </w:p>
        </w:tc>
        <w:tc>
          <w:tcPr>
            <w:tcW w:type="dxa" w:w="1440"/>
          </w:tcPr>
          <w:p>
            <w:r>
              <w:rPr>
                <w:rFonts w:ascii="Calibri" w:hAnsi="Calibri"/>
                <w:sz w:val="22"/>
              </w:rPr>
              <w:t>Jul 27–28</w:t>
            </w:r>
          </w:p>
        </w:tc>
        <w:tc>
          <w:tcPr>
            <w:tcW w:type="dxa" w:w="1440"/>
          </w:tcPr>
          <w:p>
            <w:r>
              <w:rPr>
                <w:rFonts w:ascii="Calibri" w:hAnsi="Calibri"/>
                <w:sz w:val="22"/>
              </w:rPr>
              <w:t>5.8%</w:t>
            </w:r>
          </w:p>
        </w:tc>
        <w:tc>
          <w:tcPr>
            <w:tcW w:type="dxa" w:w="1440"/>
          </w:tcPr>
          <w:p>
            <w:r>
              <w:rPr>
                <w:rFonts w:ascii="Calibri" w:hAnsi="Calibri"/>
                <w:sz w:val="22"/>
              </w:rPr>
              <w:t>31% new / 16% renewal</w:t>
            </w:r>
          </w:p>
        </w:tc>
        <w:tc>
          <w:tcPr>
            <w:tcW w:type="dxa" w:w="1440"/>
          </w:tcPr>
          <w:p>
            <w:r>
              <w:rPr>
                <w:rFonts w:ascii="Calibri" w:hAnsi="Calibri"/>
                <w:sz w:val="22"/>
              </w:rPr>
              <w:t>↑ SPNOI to 5.0–5.75%; FFO raised</w:t>
            </w:r>
          </w:p>
        </w:tc>
        <w:tc>
          <w:tcPr>
            <w:tcW w:type="dxa" w:w="1440"/>
          </w:tcPr>
          <w:p>
            <w:r>
              <w:rPr>
                <w:rFonts w:ascii="Calibri" w:hAnsi="Calibri"/>
                <w:b/>
                <w:color w:val="30A46C"/>
                <w:sz w:val="22"/>
              </w:rPr>
              <w:t>Strongly Positive</w:t>
            </w:r>
          </w:p>
        </w:tc>
      </w:tr>
      <w:tr>
        <w:tc>
          <w:tcPr>
            <w:tcW w:type="dxa" w:w="1440"/>
          </w:tcPr>
          <w:p>
            <w:r>
              <w:rPr>
                <w:rFonts w:ascii="Calibri" w:hAnsi="Calibri"/>
                <w:sz w:val="22"/>
              </w:rPr>
              <w:t>PECO</w:t>
            </w:r>
          </w:p>
        </w:tc>
        <w:tc>
          <w:tcPr>
            <w:tcW w:type="dxa" w:w="1440"/>
          </w:tcPr>
          <w:p>
            <w:r>
              <w:rPr>
                <w:rFonts w:ascii="Calibri" w:hAnsi="Calibri"/>
                <w:sz w:val="22"/>
              </w:rPr>
              <w:t>Jul 23–24</w:t>
            </w:r>
          </w:p>
        </w:tc>
        <w:tc>
          <w:tcPr>
            <w:tcW w:type="dxa" w:w="1440"/>
          </w:tcPr>
          <w:p>
            <w:r>
              <w:rPr>
                <w:rFonts w:ascii="Calibri" w:hAnsi="Calibri"/>
                <w:sz w:val="22"/>
              </w:rPr>
              <w:t>3.8%</w:t>
            </w:r>
          </w:p>
        </w:tc>
        <w:tc>
          <w:tcPr>
            <w:tcW w:type="dxa" w:w="1440"/>
          </w:tcPr>
          <w:p>
            <w:r>
              <w:rPr>
                <w:rFonts w:ascii="Calibri" w:hAnsi="Calibri"/>
                <w:sz w:val="22"/>
              </w:rPr>
              <w:t>33.7% new / 21.2% renewal</w:t>
            </w:r>
          </w:p>
        </w:tc>
        <w:tc>
          <w:tcPr>
            <w:tcW w:type="dxa" w:w="1440"/>
          </w:tcPr>
          <w:p>
            <w:r>
              <w:rPr>
                <w:rFonts w:ascii="Calibri" w:hAnsi="Calibri"/>
                <w:sz w:val="22"/>
              </w:rPr>
              <w:t>↑ FFO &amp; Core FFO; SPNOI 3.7% mid</w:t>
            </w:r>
          </w:p>
        </w:tc>
        <w:tc>
          <w:tcPr>
            <w:tcW w:type="dxa" w:w="1440"/>
          </w:tcPr>
          <w:p>
            <w:r>
              <w:rPr>
                <w:rFonts w:ascii="Calibri" w:hAnsi="Calibri"/>
                <w:b/>
                <w:color w:val="30A46C"/>
                <w:sz w:val="22"/>
              </w:rPr>
              <w:t>Positive</w:t>
            </w:r>
          </w:p>
        </w:tc>
      </w:tr>
      <w:tr>
        <w:tc>
          <w:tcPr>
            <w:tcW w:type="dxa" w:w="1440"/>
          </w:tcPr>
          <w:p>
            <w:r>
              <w:rPr>
                <w:rFonts w:ascii="Calibri" w:hAnsi="Calibri"/>
                <w:sz w:val="22"/>
              </w:rPr>
              <w:t>KRG</w:t>
            </w:r>
          </w:p>
        </w:tc>
        <w:tc>
          <w:tcPr>
            <w:tcW w:type="dxa" w:w="1440"/>
          </w:tcPr>
          <w:p>
            <w:r>
              <w:rPr>
                <w:rFonts w:ascii="Calibri" w:hAnsi="Calibri"/>
                <w:sz w:val="22"/>
              </w:rPr>
              <w:t>Jul 30</w:t>
            </w:r>
          </w:p>
        </w:tc>
        <w:tc>
          <w:tcPr>
            <w:tcW w:type="dxa" w:w="1440"/>
          </w:tcPr>
          <w:p>
            <w:r>
              <w:rPr>
                <w:rFonts w:ascii="Calibri" w:hAnsi="Calibri"/>
                <w:sz w:val="22"/>
              </w:rPr>
              <w:t>3.7%</w:t>
            </w:r>
          </w:p>
        </w:tc>
        <w:tc>
          <w:tcPr>
            <w:tcW w:type="dxa" w:w="1440"/>
          </w:tcPr>
          <w:p>
            <w:r>
              <w:rPr>
                <w:rFonts w:ascii="Calibri" w:hAnsi="Calibri"/>
                <w:sz w:val="22"/>
              </w:rPr>
              <w:t>28.4% new / 15.9% blended</w:t>
            </w:r>
          </w:p>
        </w:tc>
        <w:tc>
          <w:tcPr>
            <w:tcW w:type="dxa" w:w="1440"/>
          </w:tcPr>
          <w:p>
            <w:r>
              <w:rPr>
                <w:rFonts w:ascii="Calibri" w:hAnsi="Calibri"/>
                <w:sz w:val="22"/>
              </w:rPr>
              <w:t>↑ SPNOI +50 bps; FFO maintained</w:t>
            </w:r>
          </w:p>
        </w:tc>
        <w:tc>
          <w:tcPr>
            <w:tcW w:type="dxa" w:w="1440"/>
          </w:tcPr>
          <w:p>
            <w:r>
              <w:rPr>
                <w:rFonts w:ascii="Calibri" w:hAnsi="Calibri"/>
                <w:b/>
                <w:color w:val="30A46C"/>
                <w:sz w:val="22"/>
              </w:rPr>
              <w:t>Positive</w:t>
            </w:r>
          </w:p>
        </w:tc>
      </w:tr>
      <w:tr>
        <w:tc>
          <w:tcPr>
            <w:tcW w:type="dxa" w:w="1440"/>
          </w:tcPr>
          <w:p>
            <w:r>
              <w:rPr>
                <w:rFonts w:ascii="Calibri" w:hAnsi="Calibri"/>
                <w:sz w:val="22"/>
              </w:rPr>
              <w:t>IVT</w:t>
            </w:r>
          </w:p>
        </w:tc>
        <w:tc>
          <w:tcPr>
            <w:tcW w:type="dxa" w:w="1440"/>
          </w:tcPr>
          <w:p>
            <w:r>
              <w:rPr>
                <w:rFonts w:ascii="Calibri" w:hAnsi="Calibri"/>
                <w:sz w:val="22"/>
              </w:rPr>
              <w:t>Aug 3</w:t>
            </w:r>
          </w:p>
        </w:tc>
        <w:tc>
          <w:tcPr>
            <w:tcW w:type="dxa" w:w="1440"/>
          </w:tcPr>
          <w:p>
            <w:r>
              <w:rPr>
                <w:rFonts w:ascii="Calibri" w:hAnsi="Calibri"/>
                <w:sz w:val="22"/>
              </w:rPr>
              <w:t>4.1%</w:t>
            </w:r>
          </w:p>
        </w:tc>
        <w:tc>
          <w:tcPr>
            <w:tcW w:type="dxa" w:w="1440"/>
          </w:tcPr>
          <w:p>
            <w:r>
              <w:rPr>
                <w:rFonts w:ascii="Calibri" w:hAnsi="Calibri"/>
                <w:sz w:val="22"/>
              </w:rPr>
              <w:t>8.5% blended</w:t>
            </w:r>
          </w:p>
        </w:tc>
        <w:tc>
          <w:tcPr>
            <w:tcW w:type="dxa" w:w="1440"/>
          </w:tcPr>
          <w:p>
            <w:r>
              <w:rPr>
                <w:rFonts w:ascii="Calibri" w:hAnsi="Calibri"/>
                <w:sz w:val="22"/>
              </w:rPr>
              <w:t>SPNOI maintained 3.25–4.25%; FFO raised</w:t>
            </w:r>
          </w:p>
        </w:tc>
        <w:tc>
          <w:tcPr>
            <w:tcW w:type="dxa" w:w="1440"/>
          </w:tcPr>
          <w:p>
            <w:r>
              <w:rPr>
                <w:rFonts w:ascii="Calibri" w:hAnsi="Calibri"/>
                <w:b/>
                <w:color w:val="30A46C"/>
                <w:sz w:val="22"/>
              </w:rPr>
              <w:t>Positive</w:t>
            </w:r>
          </w:p>
        </w:tc>
      </w:tr>
      <w:tr>
        <w:tc>
          <w:tcPr>
            <w:tcW w:type="dxa" w:w="1440"/>
          </w:tcPr>
          <w:p>
            <w:r>
              <w:rPr>
                <w:rFonts w:ascii="Calibri" w:hAnsi="Calibri"/>
                <w:sz w:val="22"/>
              </w:rPr>
              <w:t>FRT</w:t>
            </w:r>
          </w:p>
        </w:tc>
        <w:tc>
          <w:tcPr>
            <w:tcW w:type="dxa" w:w="1440"/>
          </w:tcPr>
          <w:p>
            <w:r>
              <w:rPr>
                <w:rFonts w:ascii="Calibri" w:hAnsi="Calibri"/>
                <w:sz w:val="22"/>
              </w:rPr>
              <w:t>Jul 31</w:t>
            </w:r>
          </w:p>
        </w:tc>
        <w:tc>
          <w:tcPr>
            <w:tcW w:type="dxa" w:w="1440"/>
          </w:tcPr>
          <w:p>
            <w:r>
              <w:rPr>
                <w:rFonts w:ascii="Calibri" w:hAnsi="Calibri"/>
                <w:sz w:val="22"/>
              </w:rPr>
              <w:t>4.2% (cash)</w:t>
            </w:r>
          </w:p>
        </w:tc>
        <w:tc>
          <w:tcPr>
            <w:tcW w:type="dxa" w:w="1440"/>
          </w:tcPr>
          <w:p>
            <w:r>
              <w:rPr>
                <w:rFonts w:ascii="Calibri" w:hAnsi="Calibri"/>
                <w:sz w:val="22"/>
              </w:rPr>
              <w:t>15% YoY avg rent</w:t>
            </w:r>
          </w:p>
        </w:tc>
        <w:tc>
          <w:tcPr>
            <w:tcW w:type="dxa" w:w="1440"/>
          </w:tcPr>
          <w:p>
            <w:r>
              <w:rPr>
                <w:rFonts w:ascii="Calibri" w:hAnsi="Calibri"/>
                <w:sz w:val="22"/>
              </w:rPr>
              <w:t>↑ Core FFO to $7.48–$7.56; SPNOI raised</w:t>
            </w:r>
          </w:p>
        </w:tc>
        <w:tc>
          <w:tcPr>
            <w:tcW w:type="dxa" w:w="1440"/>
          </w:tcPr>
          <w:p>
            <w:r>
              <w:rPr>
                <w:rFonts w:ascii="Calibri" w:hAnsi="Calibri"/>
                <w:b/>
                <w:color w:val="30A46C"/>
                <w:sz w:val="22"/>
              </w:rPr>
              <w:t>Positive</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post-earnings development is the </w:t>
      </w:r>
      <w:r>
        <w:rPr>
          <w:rFonts w:ascii="Calibri" w:hAnsi="Calibri"/>
          <w:b/>
          <w:color w:val="525866"/>
          <w:sz w:val="22"/>
        </w:rPr>
        <w:t>June 15 issuance of $600M in 3.50% Exchangeable Senior Notes due 2031</w:t>
      </w:r>
      <w:r>
        <w:rPr>
          <w:rFonts w:ascii="Calibri" w:hAnsi="Calibri"/>
          <w:color w:val="525866"/>
          <w:sz w:val="22"/>
        </w:rPr>
        <w:t xml:space="preserve"> — a proactive balance sheet action that addresses the 2026 debt maturity headwind at favorable rates and signals management confidence in the platform’s cash flow durability.</w:t>
      </w:r>
    </w:p>
    <w:p>
      <w:pPr>
        <w:pStyle w:val="ListBullet"/>
        <w:ind w:left="360" w:hanging="360"/>
      </w:pPr>
      <w:r>
        <w:rPr>
          <w:rFonts w:ascii="Calibri" w:hAnsi="Calibri"/>
          <w:b/>
          <w:color w:val="525866"/>
          <w:sz w:val="22"/>
        </w:rPr>
        <w:t xml:space="preserve">June 15, 2026 — $600M Exchangeable Senior Notes Issuance (8-K): </w:t>
      </w:r>
      <w:r>
        <w:rPr>
          <w:rFonts w:ascii="Calibri" w:hAnsi="Calibri"/>
          <w:color w:val="525866"/>
          <w:sz w:val="22"/>
        </w:rPr>
        <w:t xml:space="preserve">Kimco Realty OP, LLC issued $600M of 3.50% Exchangeable Senior Notes due June 15, 2031 (including $75M from overallotment option exercise). Initial exchange price of ~$32.36/share (30.9028 shares per $1,000 principal). Notes are redeemable by the issuer on or after June 20, 2029 if stock price exceeds 130% of exchange price. </w:t>
      </w:r>
    </w:p>
    <w:p>
      <w:pPr>
        <w:pStyle w:val="ListBullet"/>
        <w:ind w:left="360" w:hanging="360"/>
      </w:pPr>
      <w:r>
        <w:rPr>
          <w:rFonts w:ascii="Calibri" w:hAnsi="Calibri"/>
          <w:i/>
          <w:color w:val="525866"/>
          <w:sz w:val="22"/>
        </w:rPr>
        <w:t xml:space="preserve">Implication: </w:t>
      </w:r>
      <w:r>
        <w:rPr>
          <w:rFonts w:ascii="Calibri" w:hAnsi="Calibri"/>
          <w:i/>
          <w:color w:val="525866"/>
          <w:sz w:val="22"/>
        </w:rPr>
        <w:t>Proactively addresses ~$800M of 2026 debt maturities (legacy weighted-average rate ~2.6%) at a 3.50% coupon — below the ~4.8–5.25% range for traditional 5–10-year bonds. Dilution risk is modest (max ~23.6M shares, ~3.5% of diluted count) and only triggered above $32.36. Signals management’s confidence in the balance sheet and willingness to use the convertible market as a lower-cost funding avenue, as flagged at the Nareit REITweek conference.</w:t>
      </w:r>
    </w:p>
    <w:p>
      <w:pPr>
        <w:pStyle w:val="ListBullet"/>
        <w:ind w:left="360" w:hanging="360"/>
      </w:pPr>
      <w:r>
        <w:rPr>
          <w:rFonts w:ascii="Calibri" w:hAnsi="Calibri"/>
          <w:b/>
          <w:color w:val="525866"/>
          <w:sz w:val="22"/>
        </w:rPr>
        <w:t xml:space="preserve">June 3, 2026 — Nareit REITweek Investor Conference: </w:t>
      </w:r>
      <w:r>
        <w:rPr>
          <w:rFonts w:ascii="Calibri" w:hAnsi="Calibri"/>
          <w:color w:val="525866"/>
          <w:sz w:val="22"/>
        </w:rPr>
        <w:t>CEO Conor Flynn, CFO Glenn Cohen, and President/CIO Ross Cooper presented. Key disclosures: SNO pipeline of $77M base rent + ~$20M CAM/tax/insurance recoveries + ~$20M shadow pipeline; net debt/EBITDA at 5.2x consolidated (5.5x look-through) — best levels ever reported; $160M of annual free cash flow after TIs, leasing commissions, CapEx, and dividend; $750M commercial paper program established (undrawn); $2B revolver renewed at SOFR+63.5% (~4.2%); $3M of G&amp;A cost reduction underway.</w:t>
      </w:r>
    </w:p>
    <w:p>
      <w:pPr>
        <w:pStyle w:val="ListBullet"/>
        <w:ind w:left="360" w:hanging="360"/>
      </w:pPr>
      <w:r>
        <w:rPr>
          <w:rFonts w:ascii="Calibri" w:hAnsi="Calibri"/>
          <w:i/>
          <w:color w:val="525866"/>
          <w:sz w:val="22"/>
        </w:rPr>
        <w:t xml:space="preserve">Implication: </w:t>
      </w:r>
      <w:r>
        <w:rPr>
          <w:rFonts w:ascii="Calibri" w:hAnsi="Calibri"/>
          <w:i/>
          <w:color w:val="525866"/>
          <w:sz w:val="22"/>
        </w:rPr>
        <w:t>Confirmed the capital allocation framework and reinforced the SNO conversion thesis. The $160M of annual free cash flow is the cheapest available capital for redeployment into buybacks, redevelopments, or acquisitions.</w:t>
      </w:r>
    </w:p>
    <w:p>
      <w:pPr>
        <w:pStyle w:val="ListBullet"/>
        <w:ind w:left="360" w:hanging="360"/>
      </w:pPr>
      <w:r>
        <w:rPr>
          <w:rFonts w:ascii="Calibri" w:hAnsi="Calibri"/>
          <w:b/>
          <w:color w:val="525866"/>
          <w:sz w:val="22"/>
        </w:rPr>
        <w:t xml:space="preserve">May 27, 2026 — Bernstein Strategic Decisions Conference: </w:t>
      </w:r>
      <w:r>
        <w:rPr>
          <w:rFonts w:ascii="Calibri" w:hAnsi="Calibri"/>
          <w:color w:val="525866"/>
          <w:sz w:val="22"/>
        </w:rPr>
        <w:t>CEO Conor Flynn highlighted: 30%+ new lease spreads consistently; 10–12% renewal/option spreads; retention rates over 90% at all-time highs; 80% of new small shop leases are services-oriented; traffic up 3% year-to-date at Kimco centers; ground lease recycling at ~5–5.5% cap redeployed into shopping centers at 6–6.5% cap (FFO accretive, 200–300 bps higher CAGR). Described retailer demand as "animal spirits are real" with retailers "jumping over each other for space."</w:t>
      </w:r>
    </w:p>
    <w:p>
      <w:pPr>
        <w:pStyle w:val="ListBullet"/>
        <w:ind w:left="360" w:hanging="360"/>
      </w:pPr>
      <w:r>
        <w:rPr>
          <w:rFonts w:ascii="Calibri" w:hAnsi="Calibri"/>
          <w:i/>
          <w:color w:val="525866"/>
          <w:sz w:val="22"/>
        </w:rPr>
        <w:t xml:space="preserve">Implication: </w:t>
      </w:r>
      <w:r>
        <w:rPr>
          <w:rFonts w:ascii="Calibri" w:hAnsi="Calibri"/>
          <w:i/>
          <w:color w:val="525866"/>
          <w:sz w:val="22"/>
        </w:rPr>
        <w:t>Tone was the most bullish since the RPT acquisition. The 3% traffic growth figure is a real-time demand validation that is not captured in consensus estimates.</w:t>
      </w:r>
    </w:p>
    <w:p>
      <w:pPr>
        <w:pStyle w:val="ListBullet"/>
        <w:ind w:left="360" w:hanging="360"/>
      </w:pPr>
      <w:r>
        <w:rPr>
          <w:rFonts w:ascii="Calibri" w:hAnsi="Calibri"/>
          <w:b/>
          <w:color w:val="525866"/>
          <w:sz w:val="22"/>
        </w:rPr>
        <w:t xml:space="preserve">April 30, 2026 — 1Q 2026 Earnings Beat &amp; Guidance Raise: </w:t>
      </w:r>
      <w:r>
        <w:rPr>
          <w:rFonts w:ascii="Calibri" w:hAnsi="Calibri"/>
          <w:color w:val="525866"/>
          <w:sz w:val="22"/>
        </w:rPr>
        <w:t>Core FFO of $0.458/share (+4.5% YoY, beat by ~$0.01). Same-site NOI growth of 1.7% (expected trough). SNO pipeline grew to record $77M. Credit loss of 52 bps (well below 75–100 bps guidance). FY 2026 FFO guidance tightened to $1.81–$1.84 (low end raised). Same-site NOI guidance raised to 2.8–3.5%. Credit loss guidance tightened to 65–90 bps. SNO 2026 commencement budget raised to $31M from $28.5M. RPT portfolio occupancy now exceeds legacy Kimco occupancy.</w:t>
      </w:r>
    </w:p>
    <w:p>
      <w:pPr>
        <w:pStyle w:val="ListBullet"/>
        <w:ind w:left="360" w:hanging="360"/>
      </w:pPr>
      <w:r>
        <w:rPr>
          <w:rFonts w:ascii="Calibri" w:hAnsi="Calibri"/>
          <w:i/>
          <w:color w:val="525866"/>
          <w:sz w:val="22"/>
        </w:rPr>
        <w:t xml:space="preserve">Implication: </w:t>
      </w:r>
      <w:r>
        <w:rPr>
          <w:rFonts w:ascii="Calibri" w:hAnsi="Calibri"/>
          <w:i/>
          <w:color w:val="525866"/>
          <w:sz w:val="22"/>
        </w:rPr>
        <w:t>Established the baseline for 2Q expectations. The 1Q trough in same-site NOI was explicitly telegraphed, making the 2Q acceleration the key proof point for the full-year thesis.</w:t>
      </w:r>
    </w:p>
    <w:p>
      <w:pPr>
        <w:pStyle w:val="ListBullet"/>
        <w:ind w:left="360" w:hanging="360"/>
      </w:pPr>
      <w:r>
        <w:rPr>
          <w:rFonts w:ascii="Calibri" w:hAnsi="Calibri"/>
          <w:b/>
          <w:color w:val="525866"/>
          <w:sz w:val="22"/>
        </w:rPr>
        <w:t xml:space="preserve">Sector Privatization Activity — Whitestone REIT Acquisition by Ares Management (~$1.7B): </w:t>
      </w:r>
      <w:r>
        <w:rPr>
          <w:rFonts w:ascii="Calibri" w:hAnsi="Calibri"/>
          <w:color w:val="525866"/>
          <w:sz w:val="22"/>
        </w:rPr>
        <w:t>Cited by KIM management on the 1Q 2026 call as "the latest evidence of how aggressively private capital is pursuing our sector." Follows prior privatizations of ROIC, Alexander &amp; Baldwin, and Whitestone.</w:t>
      </w:r>
    </w:p>
    <w:p>
      <w:pPr>
        <w:pStyle w:val="ListBullet"/>
        <w:ind w:left="360" w:hanging="360"/>
      </w:pPr>
      <w:r>
        <w:rPr>
          <w:rFonts w:ascii="Calibri" w:hAnsi="Calibri"/>
          <w:i/>
          <w:color w:val="525866"/>
          <w:sz w:val="22"/>
        </w:rPr>
        <w:t xml:space="preserve">Implication: </w:t>
      </w:r>
      <w:r>
        <w:rPr>
          <w:rFonts w:ascii="Calibri" w:hAnsi="Calibri"/>
          <w:i/>
          <w:color w:val="525866"/>
          <w:sz w:val="22"/>
        </w:rPr>
        <w:t>Validates the public-private valuation disconnect that KIM management has been highlighting. Private market cap rates for open-air retail are materially tighter than what KIM’s public market multiple implies, providing a floor for the stock.</w:t>
      </w:r>
    </w:p>
    <w:p>
      <w:pPr>
        <w:pStyle w:val="ListBullet"/>
        <w:ind w:left="360" w:hanging="360"/>
      </w:pPr>
      <w:r>
        <w:rPr>
          <w:rFonts w:ascii="Calibri" w:hAnsi="Calibri"/>
          <w:b/>
          <w:color w:val="525866"/>
          <w:sz w:val="22"/>
        </w:rPr>
        <w:t xml:space="preserve">Kroger / Giant Eagle Acquisition Announced (PECO Commentary, July 2026): </w:t>
      </w:r>
      <w:r>
        <w:rPr>
          <w:rFonts w:ascii="Calibri" w:hAnsi="Calibri"/>
          <w:color w:val="525866"/>
          <w:sz w:val="22"/>
        </w:rPr>
        <w:t>Kroger’s announced acquisition of Giant Eagle was cited by PECO (KIM’s peer and Kroger’s largest landlord) as a positive indicator for the long-term strength of the grocery-anchored shopping center sector.</w:t>
      </w:r>
    </w:p>
    <w:p>
      <w:pPr>
        <w:pStyle w:val="ListBullet"/>
        <w:ind w:left="360" w:hanging="360"/>
      </w:pPr>
      <w:r>
        <w:rPr>
          <w:rFonts w:ascii="Calibri" w:hAnsi="Calibri"/>
          <w:i/>
          <w:color w:val="525866"/>
          <w:sz w:val="22"/>
        </w:rPr>
        <w:t xml:space="preserve">Implication: </w:t>
      </w:r>
      <w:r>
        <w:rPr>
          <w:rFonts w:ascii="Calibri" w:hAnsi="Calibri"/>
          <w:i/>
          <w:color w:val="525866"/>
          <w:sz w:val="22"/>
        </w:rPr>
        <w:t>Reinforces the grocery anchor thesis underpinning KIM’s 86% grocery-anchored portfolio. Grocer consolidation and investment in brick-and-mortar footprint is a structural tailwind for landlords.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for KIM in the period since the April 30, 2026 earnings release. The absence of insider selling ahead of the print is a mild positive signal — no insider appears to be distributing shares into the stock’s post-earnings rally.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(Form 4 codes P/S) identified for KIM in the period May 1 – August 3, 2026. Source: SEC Form 4 Filings Database.</w:t>
            </w:r>
          </w:p>
        </w:tc>
      </w:tr>
    </w:tbl>
    <w:p>
      <w:r>
        <w:rPr>
          <w:rFonts w:ascii="Calibri" w:hAnsi="Calibri"/>
          <w:b/>
          <w:color w:val="525866"/>
          <w:sz w:val="22"/>
        </w:rPr>
        <w:t xml:space="preserve">Note: </w:t>
      </w:r>
      <w:r>
        <w:rPr>
          <w:rFonts w:ascii="Calibri" w:hAnsi="Calibri"/>
          <w:color w:val="525866"/>
          <w:sz w:val="22"/>
        </w:rPr>
        <w:t>The SEC Form 4 database was queried for open-market buys (code P) and sells (code S) for KIM insiders from May 1, 2026 through August 3, 2026. No transactions were returned. Routine equity award grants (code A) and tax withholding dispositions are excluded per standard methodology. The absence of open-market activity is not unusual for a REIT management team in a quiet period ahead of earnings.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