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b-earnings-predictions--2026-08-04"/>
    <w:p>
      <w:pPr>
        <w:pStyle w:val="Heading1"/>
      </w:pPr>
      <w:r>
        <w:t xml:space="preserve">KMB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attributable to K-C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1.82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1.87 (Q2'25 was</w:t>
            </w:r>
            <w:r>
              <w:t xml:space="preserve"> </w:t>
            </w:r>
            <m:oMath>
              <m:r>
                <m:t>1.92</m:t>
              </m:r>
              <m:r>
                <m:rPr>
                  <m:sty m:val="p"/>
                </m:rPr>
                <m:t>;</m:t>
              </m:r>
              <m:r>
                <m:t>Q</m:t>
              </m:r>
              <m:r>
                <m:t>2</m:t>
              </m:r>
              <m:r>
                <m:t>a</m:t>
              </m:r>
              <m:r>
                <m:t>b</m:t>
              </m:r>
              <m:r>
                <m:t>s</m:t>
              </m:r>
              <m:r>
                <m:t>o</m:t>
              </m:r>
              <m:r>
                <m:t>r</m:t>
              </m:r>
              <m:r>
                <m:t>b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50M Mideast-inflation + LA DC-fire hit plus a ~26% adj. tax rate before 2H recovery)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~+1.9% vs. cons ~+2.3% (guided 'slightly below' Q1's +2.5% against the toughest comp of the year, +3.9%/+5% NA volume, plus ~$20M DC-fire drag)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sales, continuing ops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4.14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4.18B (roughly flat YoY vs $4.16B; ~-50bps private-label diaper exit, ~+50bps FX, DC-fire top-line hit)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continuing ops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~double-digit cc / ~</w:t>
            </w:r>
            <m:oMath>
              <m:r>
                <m:t>7.55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7.60 (FY2026); base case is a hold, not a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operating profit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~mid-to-high single digit cc (~+6-8%) vs. cons ~+7% (FY2026); reaffirm is base case but real trim risk on 2H oil/input costs (mgmt cut in 2025 despite mitigation)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~in-line/ahead of category ~2.5% vs. cons ~2.4%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input-cost / oil overhang (not yet in guide)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150</m:t>
              </m:r>
              <m:r>
                <m:rPr>
                  <m:sty m:val="p"/>
                </m:rPr>
                <m:t>−</m:t>
              </m:r>
              <m:r>
                <m:t>170</m:t>
              </m:r>
              <m:r>
                <m:t>M</m:t>
              </m:r>
              <m:r>
                <m:t>g</m:t>
              </m:r>
              <m:r>
                <m:t>r</m:t>
              </m:r>
              <m:r>
                <m:t>o</m:t>
              </m:r>
              <m:r>
                <m:t>s</m:t>
              </m:r>
              <m:r>
                <m:t>s</m:t>
              </m:r>
              <m:r>
                <m:t>2</m:t>
              </m:r>
              <m:r>
                <m:t>H</m:t>
              </m:r>
              <m:r>
                <m:t>i</m:t>
              </m:r>
              <m:r>
                <m:t>n</m:t>
              </m:r>
              <m:r>
                <m:t>f</m:t>
              </m:r>
              <m:r>
                <m:t>l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@</m:t>
              </m:r>
              <m:r>
                <m:t> </m:t>
              </m:r>
            </m:oMath>
            <w:r>
              <w:t xml:space="preserve">100 oil vs. cons ~unquantified/$0 in-model (2H'26); whether they quantify + offset is the key swing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Kenvue / FTC deal close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2H 2026 close (FTC second request) vs. Street ~2H 2026; highest-beta commentary — any remedy/divestiture or slippage chatter would dominate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Stock ran ~+16% off the April low to a $114.72 early-July high before fading to</w:t>
            </w:r>
            <w:r>
              <w:t xml:space="preserve"> </w:t>
            </w:r>
            <m:oMath>
              <m:r>
                <m:t>107.59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b</m:t>
              </m:r>
              <m:r>
                <m:t>a</m:t>
              </m:r>
              <m:r>
                <m:t>r</m:t>
              </m:r>
              <m:r>
                <m:t>i</m:t>
              </m:r>
              <m:r>
                <m:t>s</m:t>
              </m:r>
              <m:r>
                <m:t>e</m:t>
              </m:r>
              <m:r>
                <m:t>l</m:t>
              </m:r>
              <m:r>
                <m:t>e</m:t>
              </m:r>
              <m:r>
                <m:t>v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a</m:t>
              </m:r>
              <m:r>
                <m:t>n</m:t>
              </m:r>
              <m:r>
                <m:t>o</m:t>
              </m:r>
              <m:r>
                <m:t>i</m:t>
              </m:r>
              <m:r>
                <m:t>s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o</m:t>
              </m:r>
              <m:r>
                <m:t>m</m:t>
              </m:r>
              <m:r>
                <m:t>p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  <m:r>
                <m:t>c</m:t>
              </m:r>
              <m:r>
                <m:t>a</m:t>
              </m:r>
              <m:r>
                <m:t>s</m:t>
              </m:r>
              <m:r>
                <m:t>e</m:t>
              </m:r>
              <m:r>
                <m:t>i</m:t>
              </m:r>
              <m:r>
                <m:t>s</m:t>
              </m:r>
              <m:r>
                <m:t>a</m:t>
              </m:r>
              <m:r>
                <m:t>s</m:t>
              </m:r>
              <m:r>
                <m:t>o</m:t>
              </m:r>
              <m:r>
                <m:t>f</m:t>
              </m:r>
              <m:r>
                <m:t>t</m:t>
              </m:r>
              <m:r>
                <m:t>o</m:t>
              </m:r>
              <m:r>
                <m:t>r</m:t>
              </m:r>
              <m:r>
                <m:t>g</m:t>
              </m:r>
              <m:r>
                <m:t>a</m:t>
              </m:r>
              <m:r>
                <m:t>n</m:t>
              </m:r>
              <m:r>
                <m:t>i</m:t>
              </m:r>
              <m:r>
                <m:t>c</m:t>
              </m:r>
              <m:r>
                <m:rPr>
                  <m:sty m:val="p"/>
                </m:rPr>
                <m:t>/</m:t>
              </m:r>
              <m:r>
                <m:t>E</m:t>
              </m:r>
              <m:r>
                <m:t>P</m:t>
              </m:r>
              <m:r>
                <m:t>S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a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 </m:t>
              </m:r>
            </m:oMath>
            <w:r>
              <w:t xml:space="preserve">50M Q2 headwind) with the FY guide reaffirmed but a cautious, unquantified 2H oil/input-cost tone and no firm FTC catalyst. Out-period math (implicit 2H cost drag mgmt says will be 'recovered' but hasn't put in the guide) biases estimate revisions lower even on any headline in-line, so an initial negative reaction follows through rather than fades. Deal-spread/KVUE correlation (Beiersdorf's skincare cut is a negative read-through) adds downside; a clean guide reaffirm + on-track FTC could cap losses.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2026-08-04T00:27:34Z</dcterms:created>
  <dcterms:modified xsi:type="dcterms:W3CDTF">2026-08-04T00:27:34Z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