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KMB before writing the preview. Let me gather recent earnings materials, guidance, and news.Let me read the most recent quarter (Q1 2026) release and call, and check for recent news.Let me get the prior-year Q2 2025 release (the quarter being lapped) and recent stock price and news.Let me check recent news on the Kenvue deal and Q2 expectations.Let me get the latest on the Kenvue deal status via web search for context.I have what I need. Let me quickly compute a few price stats for accuracy.# Kimberly-Clark (KMB) — Q2 2026 Earnings Preview</w:t>
      </w:r>
    </w:p>
    <w:bookmarkStart w:id="9" w:name="X59efb332c9c46563ffe4ebac7d6f8fe03f38de9"/>
    <w:p>
      <w:pPr>
        <w:pStyle w:val="Heading3"/>
      </w:pPr>
      <w:r>
        <w:t xml:space="preserve">Report date: Tuesday, August 4, 2026 | Release ~6:30 a.m. ET, analyst Q&amp;A 8:00 a.m. ET</w:t>
      </w:r>
    </w:p>
    <w:p>
      <w:r>
        <w:pict>
          <v:rect style="width:0;height:1.5pt" o:hralign="center" o:hrstd="t" o:hr="t"/>
        </w:pict>
      </w:r>
    </w:p>
    <w:bookmarkEnd w:id="9"/>
    <w:bookmarkStart w:id="10" w:name="X8b03a944a135391286fe89f88c39e4e19d8beb9"/>
    <w:p>
      <w:pPr>
        <w:pStyle w:val="Heading2"/>
      </w:pPr>
      <w:r>
        <w:t xml:space="preserve">The one thing that matters: this is a "sum-of-the-parts" quarter, not just a P&amp;L print</w:t>
      </w:r>
    </w:p>
    <w:p>
      <w:pPr>
        <w:pStyle w:val="FirstParagraph"/>
      </w:pPr>
      <w:r>
        <w:t xml:space="preserve">KMB is no longer a straightforward staples story. The stock now trades primarily as a</w:t>
      </w:r>
      <w:r>
        <w:t xml:space="preserve"> </w:t>
      </w:r>
      <w:r>
        <w:rPr>
          <w:b/>
          <w:bCs/>
        </w:rPr>
        <w:t xml:space="preserve">merger-arbitrage / deal-completion vehicle</w:t>
      </w:r>
      <w:r>
        <w:t xml:space="preserve"> </w:t>
      </w:r>
      <w:r>
        <w:t xml:space="preserve">layered on top of a solid organic-growth engine. Going into the print, investors need to weigh three separate things:</w:t>
      </w:r>
    </w:p>
    <w:p>
      <w:pPr>
        <w:pStyle w:val="Compact"/>
        <w:numPr>
          <w:ilvl w:val="0"/>
          <w:numId w:val="1001"/>
        </w:numPr>
      </w:pPr>
      <w:r>
        <w:rPr>
          <w:b/>
          <w:bCs/>
        </w:rPr>
        <w:t xml:space="preserve">The pending ~$48.7B acquisition of Kenvue (KVUE)</w:t>
      </w:r>
      <w:r>
        <w:t xml:space="preserve"> </w:t>
      </w:r>
      <w:r>
        <w:t xml:space="preserve">— the dominant driver of the equity.</w:t>
      </w:r>
    </w:p>
    <w:p>
      <w:pPr>
        <w:pStyle w:val="Compact"/>
        <w:numPr>
          <w:ilvl w:val="0"/>
          <w:numId w:val="1001"/>
        </w:numPr>
      </w:pPr>
      <w:r>
        <w:rPr>
          <w:b/>
          <w:bCs/>
        </w:rPr>
        <w:t xml:space="preserve">The IFP joint-venture with Suzano</w:t>
      </w:r>
      <w:r>
        <w:t xml:space="preserve"> </w:t>
      </w:r>
      <w:r>
        <w:t xml:space="preserve">— expected to close mid-2026, funding part of the Kenvue cash consideration.</w:t>
      </w:r>
    </w:p>
    <w:p>
      <w:pPr>
        <w:pStyle w:val="Compact"/>
        <w:numPr>
          <w:ilvl w:val="0"/>
          <w:numId w:val="1001"/>
        </w:numPr>
      </w:pPr>
      <w:r>
        <w:rPr>
          <w:b/>
          <w:bCs/>
        </w:rPr>
        <w:t xml:space="preserve">The underlying base business</w:t>
      </w:r>
      <w:r>
        <w:t xml:space="preserve">, which is executing well but faces a fresh input-cost/oil headwind that management deliberately left</w:t>
      </w:r>
      <w:r>
        <w:t xml:space="preserve"> </w:t>
      </w:r>
      <w:r>
        <w:rPr>
          <w:i/>
          <w:iCs/>
        </w:rPr>
        <w:t xml:space="preserve">outside</w:t>
      </w:r>
      <w:r>
        <w:t xml:space="preserve"> </w:t>
      </w:r>
      <w:r>
        <w:t xml:space="preserve">guidance last quarter.</w:t>
      </w:r>
    </w:p>
    <w:p>
      <w:pPr>
        <w:pStyle w:val="FirstParagraph"/>
      </w:pPr>
      <w:r>
        <w:t xml:space="preserve">Because both transactions are outstanding, the quarterly EPS number matters less than usual; the</w:t>
      </w:r>
      <w:r>
        <w:t xml:space="preserve"> </w:t>
      </w:r>
      <w:r>
        <w:rPr>
          <w:b/>
          <w:bCs/>
        </w:rPr>
        <w:t xml:space="preserve">guidance commentary, cost-mitigation plan, and deal timeline updates</w:t>
      </w:r>
      <w:r>
        <w:t xml:space="preserve"> </w:t>
      </w:r>
      <w:r>
        <w:t xml:space="preserve">are what will move the stock.</w:t>
      </w:r>
    </w:p>
    <w:p>
      <w:pPr>
        <w:pStyle w:val="BlockText"/>
      </w:pPr>
      <w:r>
        <w:t xml:space="preserve">Note: Unlike KMB, Kenvue is</w:t>
      </w:r>
      <w:r>
        <w:t xml:space="preserve"> </w:t>
      </w:r>
      <w:r>
        <w:rPr>
          <w:b/>
          <w:bCs/>
        </w:rPr>
        <w:t xml:space="preserve">not</w:t>
      </w:r>
      <w:r>
        <w:t xml:space="preserve"> </w:t>
      </w:r>
      <w:r>
        <w:t xml:space="preserve">hosting a call this cycle (press release only) due to the pending transaction — so KMB's Q&amp;A is the main live event.</w:t>
      </w:r>
    </w:p>
    <w:p>
      <w:r>
        <w:pict>
          <v:rect style="width:0;height:1.5pt" o:hralign="center" o:hrstd="t" o:hr="t"/>
        </w:pict>
      </w:r>
    </w:p>
    <w:bookmarkEnd w:id="10"/>
    <w:bookmarkStart w:id="11" w:name="setup--what-the-street-is-anchored-to"/>
    <w:p>
      <w:pPr>
        <w:pStyle w:val="Heading2"/>
      </w:pPr>
      <w:r>
        <w:t xml:space="preserve">Setup / what the Street is anchored to</w:t>
      </w:r>
    </w:p>
    <w:p>
      <w:pPr>
        <w:pStyle w:val="FirstParagraph"/>
      </w:pPr>
      <w:r>
        <w:rPr>
          <w:b/>
          <w:bCs/>
        </w:rPr>
        <w:t xml:space="preserve">Prior-year comp (Q2 2025 — the hardest of the year to lap):</w:t>
      </w:r>
    </w:p>
    <w:p>
      <w:pPr>
        <w:pStyle w:val="Compact"/>
        <w:numPr>
          <w:ilvl w:val="0"/>
          <w:numId w:val="1002"/>
        </w:numPr>
      </w:pPr>
      <w:r>
        <w:t xml:space="preserve">Net sales (continuing ops):</w:t>
      </w:r>
      <w:r>
        <w:t xml:space="preserve"> </w:t>
      </w:r>
      <w:r>
        <w:rPr>
          <w:b/>
          <w:bCs/>
        </w:rPr>
        <w:t xml:space="preserve">$4.16B</w:t>
      </w:r>
      <w:r>
        <w:t xml:space="preserve">, organic</w:t>
      </w:r>
      <w:r>
        <w:t xml:space="preserve"> </w:t>
      </w:r>
      <w:r>
        <w:rPr>
          <w:b/>
          <w:bCs/>
        </w:rPr>
        <w:t xml:space="preserve">+3.9%</w:t>
      </w:r>
      <w:r>
        <w:t xml:space="preserve">, driven by</w:t>
      </w:r>
      <w:r>
        <w:t xml:space="preserve"> </w:t>
      </w:r>
      <w:r>
        <w:rPr>
          <w:b/>
          <w:bCs/>
        </w:rPr>
        <w:t xml:space="preserve">+5.0% volume</w:t>
      </w:r>
      <w:r>
        <w:t xml:space="preserve"> </w:t>
      </w:r>
      <w:r>
        <w:t xml:space="preserve">— the strongest volume quarter in five years</w:t>
      </w:r>
    </w:p>
    <w:p>
      <w:pPr>
        <w:pStyle w:val="Compact"/>
        <w:numPr>
          <w:ilvl w:val="0"/>
          <w:numId w:val="1002"/>
        </w:numPr>
      </w:pPr>
      <w:r>
        <w:t xml:space="preserve">Adjusted operating profit:</w:t>
      </w:r>
      <w:r>
        <w:t xml:space="preserve"> </w:t>
      </w:r>
      <w:r>
        <w:rPr>
          <w:b/>
          <w:bCs/>
        </w:rPr>
        <w:t xml:space="preserve">$713M</w:t>
      </w:r>
    </w:p>
    <w:p>
      <w:pPr>
        <w:pStyle w:val="Compact"/>
        <w:numPr>
          <w:ilvl w:val="0"/>
          <w:numId w:val="1002"/>
        </w:numPr>
      </w:pPr>
      <w:r>
        <w:t xml:space="preserve">Adjusted EPS from continuing ops:</w:t>
      </w:r>
      <w:r>
        <w:t xml:space="preserve"> </w:t>
      </w:r>
      <m:oMath>
        <m:r>
          <m:t>1.63</m:t>
        </m:r>
        <m:r>
          <m:rPr>
            <m:sty m:val="p"/>
          </m:rPr>
          <m:t>*</m:t>
        </m:r>
        <m:r>
          <m:rPr>
            <m:sty m:val="p"/>
          </m:rPr>
          <m:t>*</m:t>
        </m:r>
        <m:r>
          <m:rPr>
            <m:sty m:val="p"/>
          </m:rPr>
          <m:t>;</m:t>
        </m:r>
        <m:r>
          <m:t>A</m:t>
        </m:r>
        <m:r>
          <m:t>d</m:t>
        </m:r>
        <m:r>
          <m:t>j</m:t>
        </m:r>
        <m:r>
          <m:t>u</m:t>
        </m:r>
        <m:r>
          <m:t>s</m:t>
        </m:r>
        <m:r>
          <m:t>t</m:t>
        </m:r>
        <m:r>
          <m:t>e</m:t>
        </m:r>
        <m:r>
          <m:t>d</m:t>
        </m:r>
        <m:r>
          <m:t>E</m:t>
        </m:r>
        <m:r>
          <m:t>P</m:t>
        </m:r>
        <m:r>
          <m:t>S</m:t>
        </m:r>
        <m:r>
          <m:t>a</m:t>
        </m:r>
        <m:r>
          <m:t>t</m:t>
        </m:r>
        <m:r>
          <m:t>t</m:t>
        </m:r>
        <m:r>
          <m:t>r</m:t>
        </m:r>
        <m:r>
          <m:t>i</m:t>
        </m:r>
        <m:r>
          <m:t>b</m:t>
        </m:r>
        <m:r>
          <m:t>u</m:t>
        </m:r>
        <m:r>
          <m:t>t</m:t>
        </m:r>
        <m:r>
          <m:t>a</m:t>
        </m:r>
        <m:r>
          <m:t>b</m:t>
        </m:r>
        <m:r>
          <m:t>l</m:t>
        </m:r>
        <m:r>
          <m:t>e</m:t>
        </m:r>
        <m:r>
          <m:t>t</m:t>
        </m:r>
        <m:r>
          <m:t>o</m:t>
        </m:r>
        <m:r>
          <m:t>K</m:t>
        </m:r>
        <m:r>
          <m:rPr>
            <m:sty m:val="p"/>
          </m:rPr>
          <m:t>−</m:t>
        </m:r>
        <m:r>
          <m:t>C</m:t>
        </m:r>
        <m:r>
          <m:rPr>
            <m:sty m:val="p"/>
          </m:rPr>
          <m:t>:</m:t>
        </m:r>
        <m:r>
          <m:rPr>
            <m:sty m:val="p"/>
          </m:rPr>
          <m:t>*</m:t>
        </m:r>
        <m:r>
          <m:rPr>
            <m:sty m:val="p"/>
          </m:rPr>
          <m:t>*</m:t>
        </m:r>
      </m:oMath>
      <w:r>
        <w:rPr>
          <w:b/>
          <w:bCs/>
        </w:rPr>
        <w:t xml:space="preserve">1.92</w:t>
      </w:r>
    </w:p>
    <w:p>
      <w:pPr>
        <w:pStyle w:val="FirstParagraph"/>
      </w:pPr>
      <w:r>
        <w:rPr>
          <w:b/>
          <w:bCs/>
        </w:rPr>
        <w:t xml:space="preserve">Most recent quarter (Q1 2026):</w:t>
      </w:r>
    </w:p>
    <w:p>
      <w:pPr>
        <w:pStyle w:val="Compact"/>
        <w:numPr>
          <w:ilvl w:val="0"/>
          <w:numId w:val="1003"/>
        </w:numPr>
      </w:pPr>
      <w:r>
        <w:t xml:space="preserve">Organic sales</w:t>
      </w:r>
      <w:r>
        <w:t xml:space="preserve"> </w:t>
      </w:r>
      <w:r>
        <w:rPr>
          <w:b/>
          <w:bCs/>
        </w:rPr>
        <w:t xml:space="preserve">+2.5%</w:t>
      </w:r>
      <w:r>
        <w:t xml:space="preserve"> </w:t>
      </w:r>
      <w:r>
        <w:t xml:space="preserve">(volume/mix</w:t>
      </w:r>
      <w:r>
        <w:t xml:space="preserve"> </w:t>
      </w:r>
      <w:r>
        <w:rPr>
          <w:b/>
          <w:bCs/>
        </w:rPr>
        <w:t xml:space="preserve">+3.0%</w:t>
      </w:r>
      <w:r>
        <w:t xml:space="preserve">, price</w:t>
      </w:r>
      <w:r>
        <w:t xml:space="preserve"> </w:t>
      </w:r>
      <w:r>
        <w:rPr>
          <w:b/>
          <w:bCs/>
        </w:rPr>
        <w:t xml:space="preserve">-0.5%</w:t>
      </w:r>
      <w:r>
        <w:t xml:space="preserve">)</w:t>
      </w:r>
    </w:p>
    <w:p>
      <w:pPr>
        <w:pStyle w:val="Compact"/>
        <w:numPr>
          <w:ilvl w:val="0"/>
          <w:numId w:val="1003"/>
        </w:numPr>
      </w:pPr>
      <w:r>
        <w:t xml:space="preserve">Adjusted operating profit</w:t>
      </w:r>
      <w:r>
        <w:t xml:space="preserve"> </w:t>
      </w:r>
      <w:r>
        <w:rPr>
          <w:b/>
          <w:bCs/>
        </w:rPr>
        <w:t xml:space="preserve">$732M (+3.7%)</w:t>
      </w:r>
      <w:r>
        <w:t xml:space="preserve">; adjusted operating margin +~20 bps</w:t>
      </w:r>
    </w:p>
    <w:p>
      <w:pPr>
        <w:pStyle w:val="Compact"/>
        <w:numPr>
          <w:ilvl w:val="0"/>
          <w:numId w:val="1003"/>
        </w:numPr>
      </w:pPr>
      <w:r>
        <w:t xml:space="preserve">Adjusted EPS continuing ops</w:t>
      </w:r>
      <w:r>
        <w:t xml:space="preserve"> </w:t>
      </w:r>
      <w:r>
        <w:rPr>
          <w:b/>
          <w:bCs/>
        </w:rPr>
        <w:t xml:space="preserve">$1.60 (-1.2%)</w:t>
      </w:r>
      <w:r>
        <w:t xml:space="preserve"> </w:t>
      </w:r>
      <w:r>
        <w:t xml:space="preserve">— pressured by a higher adjusted tax rate (26.2% vs 20.7%)</w:t>
      </w:r>
    </w:p>
    <w:p>
      <w:pPr>
        <w:pStyle w:val="Compact"/>
        <w:numPr>
          <w:ilvl w:val="0"/>
          <w:numId w:val="1003"/>
        </w:numPr>
      </w:pPr>
      <w:r>
        <w:t xml:space="preserve">Adjusted EPS attributable to K-C</w:t>
      </w:r>
      <w:r>
        <w:t xml:space="preserve"> </w:t>
      </w:r>
      <w:r>
        <w:rPr>
          <w:b/>
          <w:bCs/>
        </w:rPr>
        <w:t xml:space="preserve">$1.97 (+2.1%)</w:t>
      </w:r>
    </w:p>
    <w:p>
      <w:pPr>
        <w:pStyle w:val="Compact"/>
        <w:numPr>
          <w:ilvl w:val="0"/>
          <w:numId w:val="1003"/>
        </w:numPr>
      </w:pPr>
      <w:r>
        <w:t xml:space="preserve">Segments:</w:t>
      </w:r>
      <w:r>
        <w:t xml:space="preserve"> </w:t>
      </w:r>
      <w:r>
        <w:rPr>
          <w:b/>
          <w:bCs/>
        </w:rPr>
        <w:t xml:space="preserve">North America</w:t>
      </w:r>
      <w:r>
        <w:t xml:space="preserve"> </w:t>
      </w:r>
      <w:r>
        <w:t xml:space="preserve">organic +1.8% (but -0.6% reported on private-label diaper exit);</w:t>
      </w:r>
      <w:r>
        <w:t xml:space="preserve"> </w:t>
      </w:r>
      <w:r>
        <w:rPr>
          <w:b/>
          <w:bCs/>
        </w:rPr>
        <w:t xml:space="preserve">International Personal Care</w:t>
      </w:r>
      <w:r>
        <w:t xml:space="preserve"> </w:t>
      </w:r>
      <w:r>
        <w:t xml:space="preserve">organic +4.0%, reported +9.1% on FX tailwind</w:t>
      </w:r>
    </w:p>
    <w:p>
      <w:r>
        <w:pict>
          <v:rect style="width:0;height:1.5pt" o:hralign="center" o:hrstd="t" o:hr="t"/>
        </w:pict>
      </w:r>
    </w:p>
    <w:bookmarkEnd w:id="11"/>
    <w:bookmarkStart w:id="12" w:name="Xcea7cac62707737a63a8beda138e5d3559b2859"/>
    <w:p>
      <w:pPr>
        <w:pStyle w:val="Heading2"/>
      </w:pPr>
      <w:r>
        <w:t xml:space="preserve">What management guided for Q2 2026 specifically (from the Q1 call)</w:t>
      </w:r>
    </w:p>
    <w:p>
      <w:pPr>
        <w:pStyle w:val="FirstParagraph"/>
      </w:pPr>
      <w:r>
        <w:t xml:space="preserve">This is the roadmap to judge the print against: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Q2 2026 guide</w:t>
            </w:r>
          </w:p>
        </w:tc>
      </w:tr>
      <w:tr>
        <w:tc>
          <w:tcPr/>
          <w:p>
            <w:pPr>
              <w:pStyle w:val="Compact"/>
            </w:pPr>
            <w:r>
              <w:rPr>
                <w:b/>
                <w:bCs/>
              </w:rPr>
              <w:t xml:space="preserve">Organic sales growth</w:t>
            </w:r>
          </w:p>
        </w:tc>
        <w:tc>
          <w:tcPr/>
          <w:p>
            <w:pPr>
              <w:pStyle w:val="Compact"/>
            </w:pPr>
            <w:r>
              <w:rPr>
                <w:b/>
                <w:bCs/>
              </w:rPr>
              <w:t xml:space="preserve">Slightly below</w:t>
            </w:r>
            <w:r>
              <w:t xml:space="preserve"> </w:t>
            </w:r>
            <w:r>
              <w:t xml:space="preserve">Q1's +2.5% — lapping ~+4% total / +5% NA volume comp</w:t>
            </w:r>
          </w:p>
        </w:tc>
      </w:tr>
      <w:tr>
        <w:tc>
          <w:tcPr/>
          <w:p>
            <w:pPr>
              <w:pStyle w:val="Compact"/>
            </w:pPr>
            <w:r>
              <w:rPr>
                <w:b/>
                <w:bCs/>
              </w:rPr>
              <w:t xml:space="preserve">California DC fire</w:t>
            </w:r>
          </w:p>
        </w:tc>
        <w:tc>
          <w:tcPr/>
          <w:p>
            <w:pPr>
              <w:pStyle w:val="Compact"/>
            </w:pPr>
            <w:r>
              <w:rPr>
                <w:b/>
                <w:bCs/>
              </w:rPr>
              <w:t xml:space="preserve">~$20M top-line hit</w:t>
            </w:r>
            <w:r>
              <w:t xml:space="preserve"> </w:t>
            </w:r>
            <w:r>
              <w:t xml:space="preserve">(~70–80 bps drag on North America)</w:t>
            </w:r>
          </w:p>
        </w:tc>
      </w:tr>
      <w:tr>
        <w:tc>
          <w:tcPr/>
          <w:p>
            <w:pPr>
              <w:pStyle w:val="Compact"/>
            </w:pPr>
            <w:r>
              <w:rPr>
                <w:b/>
                <w:bCs/>
              </w:rPr>
              <w:t xml:space="preserve">Bottom-line headwind</w:t>
            </w:r>
          </w:p>
        </w:tc>
        <w:tc>
          <w:tcPr/>
          <w:p>
            <w:pPr>
              <w:pStyle w:val="Compact"/>
            </w:pPr>
            <w:r>
              <w:rPr>
                <w:b/>
                <w:bCs/>
              </w:rPr>
              <w:t xml:space="preserve">~$50M</w:t>
            </w:r>
            <w:r>
              <w:t xml:space="preserve"> </w:t>
            </w:r>
            <w:r>
              <w:t xml:space="preserve">from Middle East-war-driven inflation + the LA DC fire,</w:t>
            </w:r>
            <w:r>
              <w:t xml:space="preserve"> </w:t>
            </w:r>
            <w:r>
              <w:rPr>
                <w:b/>
                <w:bCs/>
              </w:rPr>
              <w:t xml:space="preserve">expected to be recovered in 2H</w:t>
            </w:r>
          </w:p>
        </w:tc>
      </w:tr>
      <w:tr>
        <w:tc>
          <w:tcPr/>
          <w:p>
            <w:pPr>
              <w:pStyle w:val="Compact"/>
            </w:pPr>
            <w:r>
              <w:rPr>
                <w:b/>
                <w:bCs/>
              </w:rPr>
              <w:t xml:space="preserve">Margins</w:t>
            </w:r>
          </w:p>
        </w:tc>
        <w:tc>
          <w:tcPr/>
          <w:p>
            <w:pPr>
              <w:pStyle w:val="Compact"/>
            </w:pPr>
            <w:r>
              <w:t xml:space="preserve">Gross and operating margin expected to expand as the year progresses (PL-diaper drag fully lapped after Q2)</w:t>
            </w:r>
          </w:p>
        </w:tc>
      </w:tr>
    </w:tbl>
    <w:p>
      <w:pPr>
        <w:pStyle w:val="BodyText"/>
      </w:pPr>
      <w:r>
        <w:t xml:space="preserve">The key nuance: management said the ~$50M Q2 hit is</w:t>
      </w:r>
      <w:r>
        <w:t xml:space="preserve"> </w:t>
      </w:r>
      <w:r>
        <w:rPr>
          <w:b/>
          <w:bCs/>
        </w:rPr>
        <w:t xml:space="preserve">manageable</w:t>
      </w:r>
      <w:r>
        <w:t xml:space="preserve"> </w:t>
      </w:r>
      <w:r>
        <w:t xml:space="preserve">and left it in the outlook, but explicitly</w:t>
      </w:r>
      <w:r>
        <w:t xml:space="preserve"> </w:t>
      </w:r>
      <w:r>
        <w:rPr>
          <w:b/>
          <w:bCs/>
        </w:rPr>
        <w:t xml:space="preserve">kept the full-year guide unchanged</w:t>
      </w:r>
      <w:r>
        <w:t xml:space="preserve"> </w:t>
      </w:r>
      <w:r>
        <w:t xml:space="preserve">while its teams work through mitigation.</w:t>
      </w:r>
    </w:p>
    <w:p>
      <w:r>
        <w:pict>
          <v:rect style="width:0;height:1.5pt" o:hralign="center" o:hrstd="t" o:hr="t"/>
        </w:pict>
      </w:r>
    </w:p>
    <w:bookmarkEnd w:id="12"/>
    <w:bookmarkStart w:id="13" w:name="X281cd100378777796bbf5966d01ea671e316451"/>
    <w:p>
      <w:pPr>
        <w:pStyle w:val="Heading2"/>
      </w:pPr>
      <w:r>
        <w:t xml:space="preserve">The big open question: the 2H oil/input-cost overhang</w:t>
      </w:r>
    </w:p>
    <w:p>
      <w:pPr>
        <w:pStyle w:val="FirstParagraph"/>
      </w:pPr>
      <w:r>
        <w:t xml:space="preserve">On the Q1 call, CFO Nelson Urdaneta flagged that</w:t>
      </w:r>
      <w:r>
        <w:t xml:space="preserve"> </w:t>
      </w:r>
      <w:r>
        <w:rPr>
          <w:b/>
          <w:bCs/>
        </w:rPr>
        <w:t xml:space="preserve">if oil averages ~$100/bbl, 2H gross incremental input costs could be $150–170M</w:t>
      </w:r>
      <w:r>
        <w:t xml:space="preserve"> </w:t>
      </w:r>
      <w:r>
        <w:t xml:space="preserve">— and stressed this was</w:t>
      </w:r>
      <w:r>
        <w:t xml:space="preserve"> </w:t>
      </w:r>
      <w:r>
        <w:rPr>
          <w:b/>
          <w:bCs/>
        </w:rPr>
        <w:t xml:space="preserve">NOT yet in guidance, nor were any offsetting actions</w:t>
      </w:r>
      <w:r>
        <w:t xml:space="preserve">. Management's framing:</w:t>
      </w:r>
    </w:p>
    <w:p>
      <w:pPr>
        <w:pStyle w:val="Compact"/>
        <w:numPr>
          <w:ilvl w:val="0"/>
          <w:numId w:val="1004"/>
        </w:numPr>
      </w:pPr>
      <w:r>
        <w:t xml:space="preserve">~</w:t>
      </w:r>
      <w:r>
        <w:rPr>
          <w:b/>
          <w:bCs/>
        </w:rPr>
        <w:t xml:space="preserve">80% of the cost basket is covered</w:t>
      </w:r>
      <w:r>
        <w:t xml:space="preserve"> </w:t>
      </w:r>
      <w:r>
        <w:t xml:space="preserve">via contracts/hedging.</w:t>
      </w:r>
    </w:p>
    <w:p>
      <w:pPr>
        <w:pStyle w:val="Compact"/>
        <w:numPr>
          <w:ilvl w:val="0"/>
          <w:numId w:val="1004"/>
        </w:numPr>
      </w:pPr>
      <w:r>
        <w:t xml:space="preserve">Levers to offset:</w:t>
      </w:r>
      <w:r>
        <w:t xml:space="preserve"> </w:t>
      </w:r>
      <w:r>
        <w:rPr>
          <w:b/>
          <w:bCs/>
        </w:rPr>
        <w:t xml:space="preserve">revenue growth management (RGM)/pricing, ~6% gross productivity, supplier renegotiation, price-pack architecture.</w:t>
      </w:r>
    </w:p>
    <w:p>
      <w:pPr>
        <w:pStyle w:val="Compact"/>
        <w:numPr>
          <w:ilvl w:val="0"/>
          <w:numId w:val="1004"/>
        </w:numPr>
      </w:pPr>
      <w:r>
        <w:t xml:space="preserve">Philosophy is</w:t>
      </w:r>
      <w:r>
        <w:t xml:space="preserve"> </w:t>
      </w:r>
      <w:r>
        <w:rPr>
          <w:b/>
          <w:bCs/>
        </w:rPr>
        <w:t xml:space="preserve">"pricing net of cost neutral over time"</w:t>
      </w:r>
      <w:r>
        <w:t xml:space="preserve"> </w:t>
      </w:r>
      <w:r>
        <w:t xml:space="preserve">(PNOC) — they've absorbed $1.6–1.7B/yr shocks in 2022–23 and still expanded margins.</w:t>
      </w:r>
    </w:p>
    <w:p>
      <w:pPr>
        <w:pStyle w:val="FirstParagraph"/>
      </w:pPr>
      <w:r>
        <w:rPr>
          <w:b/>
          <w:bCs/>
        </w:rPr>
        <w:t xml:space="preserve">What to watch:</w:t>
      </w:r>
      <w:r>
        <w:t xml:space="preserve"> </w:t>
      </w:r>
      <w:r>
        <w:t xml:space="preserve">Does KMB (a) quantify updated input-cost inflation, (b) lay out concrete mitigation, and (c)</w:t>
      </w:r>
      <w:r>
        <w:t xml:space="preserve"> </w:t>
      </w:r>
      <w:r>
        <w:rPr>
          <w:b/>
          <w:bCs/>
        </w:rPr>
        <w:t xml:space="preserve">hold, trim, or reaffirm the FY guide?</w:t>
      </w:r>
      <w:r>
        <w:t xml:space="preserve"> </w:t>
      </w:r>
      <w:r>
        <w:t xml:space="preserve">Bears (e.g., TD Cowen's Moskow on the last call) note that in 2025 KMB still had to</w:t>
      </w:r>
      <w:r>
        <w:t xml:space="preserve"> </w:t>
      </w:r>
      <w:r>
        <w:rPr>
          <w:i/>
          <w:iCs/>
        </w:rPr>
        <w:t xml:space="preserve">cut</w:t>
      </w:r>
      <w:r>
        <w:t xml:space="preserve"> </w:t>
      </w:r>
      <w:r>
        <w:t xml:space="preserve">profit guidance despite mitigating tariffs — so credibility on "we'll offset it" is a live debate. A guidance cut here would be the main negative surprise risk; conversely, a clean reaffirmation with a credible offset plan would be a relief.</w:t>
      </w:r>
    </w:p>
    <w:p>
      <w:r>
        <w:pict>
          <v:rect style="width:0;height:1.5pt" o:hralign="center" o:hrstd="t" o:hr="t"/>
        </w:pict>
      </w:r>
    </w:p>
    <w:bookmarkEnd w:id="13"/>
    <w:bookmarkStart w:id="14" w:name="Xe81888eda90fcdf179dea08f4f257532164dabb"/>
    <w:p>
      <w:pPr>
        <w:pStyle w:val="Heading2"/>
      </w:pPr>
      <w:r>
        <w:t xml:space="preserve">Full-year 2026 framework (reaffirmed at Q1) — the bar for any revision</w:t>
      </w:r>
    </w:p>
    <w:p>
      <w:pPr>
        <w:pStyle w:val="Compact"/>
        <w:numPr>
          <w:ilvl w:val="0"/>
          <w:numId w:val="1005"/>
        </w:numPr>
      </w:pPr>
      <w:r>
        <w:rPr>
          <w:b/>
          <w:bCs/>
        </w:rPr>
        <w:t xml:space="preserve">Organic sales:</w:t>
      </w:r>
      <w:r>
        <w:t xml:space="preserve"> </w:t>
      </w:r>
      <w:r>
        <w:t xml:space="preserve">in line to ahead of category growth (~2.5% LTM)</w:t>
      </w:r>
    </w:p>
    <w:p>
      <w:pPr>
        <w:pStyle w:val="Compact"/>
        <w:numPr>
          <w:ilvl w:val="0"/>
          <w:numId w:val="1005"/>
        </w:numPr>
      </w:pPr>
      <w:r>
        <w:rPr>
          <w:b/>
          <w:bCs/>
        </w:rPr>
        <w:t xml:space="preserve">Reported net sales:</w:t>
      </w:r>
      <w:r>
        <w:t xml:space="preserve"> </w:t>
      </w:r>
      <w:r>
        <w:t xml:space="preserve">~-50 bps from private-label diaper exit, ~+50 bps FX</w:t>
      </w:r>
    </w:p>
    <w:p>
      <w:pPr>
        <w:pStyle w:val="Compact"/>
        <w:numPr>
          <w:ilvl w:val="0"/>
          <w:numId w:val="1005"/>
        </w:numPr>
      </w:pPr>
      <w:r>
        <w:rPr>
          <w:b/>
          <w:bCs/>
        </w:rPr>
        <w:t xml:space="preserve">Adjusted operating profit:</w:t>
      </w:r>
      <w:r>
        <w:t xml:space="preserve"> </w:t>
      </w:r>
      <w:r>
        <w:rPr>
          <w:b/>
          <w:bCs/>
        </w:rPr>
        <w:t xml:space="preserve">mid-to-high single-digit growth</w:t>
      </w:r>
      <w:r>
        <w:t xml:space="preserve">, constant currency</w:t>
      </w:r>
    </w:p>
    <w:p>
      <w:pPr>
        <w:pStyle w:val="Compact"/>
        <w:numPr>
          <w:ilvl w:val="0"/>
          <w:numId w:val="1005"/>
        </w:numPr>
      </w:pPr>
      <w:r>
        <w:rPr>
          <w:b/>
          <w:bCs/>
        </w:rPr>
        <w:t xml:space="preserve">Adjusted EPS from continuing ops:</w:t>
      </w:r>
      <w:r>
        <w:t xml:space="preserve"> </w:t>
      </w:r>
      <w:r>
        <w:rPr>
          <w:b/>
          <w:bCs/>
        </w:rPr>
        <w:t xml:space="preserve">double-digit growth</w:t>
      </w:r>
      <w:r>
        <w:t xml:space="preserve">, constant currency (helped by ~40% higher equity-company income, flat net interest, ~23% adjusted tax rate, flat share count)</w:t>
      </w:r>
    </w:p>
    <w:p>
      <w:pPr>
        <w:pStyle w:val="Compact"/>
        <w:numPr>
          <w:ilvl w:val="0"/>
          <w:numId w:val="1005"/>
        </w:numPr>
      </w:pPr>
      <w:r>
        <w:rPr>
          <w:b/>
          <w:bCs/>
        </w:rPr>
        <w:t xml:space="preserve">Adjusted EPS attributable to K-C:</w:t>
      </w:r>
      <w:r>
        <w:t xml:space="preserve"> </w:t>
      </w:r>
      <w:r>
        <w:rPr>
          <w:b/>
          <w:bCs/>
        </w:rPr>
        <w:t xml:space="preserve">flat</w:t>
      </w:r>
      <w:r>
        <w:t xml:space="preserve"> </w:t>
      </w:r>
      <w:r>
        <w:t xml:space="preserve">constant currency (discontinued-ops/IFP income falls as the Suzano deal closes mid-year); ~+170 bps FX tailwind</w:t>
      </w:r>
    </w:p>
    <w:p>
      <w:pPr>
        <w:pStyle w:val="Compact"/>
        <w:numPr>
          <w:ilvl w:val="0"/>
          <w:numId w:val="1005"/>
        </w:numPr>
      </w:pPr>
      <w:r>
        <w:t xml:space="preserve">Adjusted free cash flow context: ~$2B was the 2025 target</w:t>
      </w:r>
    </w:p>
    <w:p>
      <w:pPr>
        <w:pStyle w:val="FirstParagraph"/>
      </w:pPr>
      <w:r>
        <w:t xml:space="preserve">Note the</w:t>
      </w:r>
      <w:r>
        <w:t xml:space="preserve"> </w:t>
      </w:r>
      <w:r>
        <w:rPr>
          <w:b/>
          <w:bCs/>
        </w:rPr>
        <w:t xml:space="preserve">two different EPS goalposts</w:t>
      </w:r>
      <w:r>
        <w:t xml:space="preserve"> </w:t>
      </w:r>
      <w:r>
        <w:t xml:space="preserve">— continuing-ops EPS (growing double digits) vs. total attributable EPS (flat, dragged by the IFP wind-down). Expect confusion in headlines; focus on continuing ops.</w:t>
      </w:r>
    </w:p>
    <w:p>
      <w:r>
        <w:pict>
          <v:rect style="width:0;height:1.5pt" o:hralign="center" o:hrstd="t" o:hr="t"/>
        </w:pict>
      </w:r>
    </w:p>
    <w:bookmarkEnd w:id="14"/>
    <w:bookmarkStart w:id="15" w:name="deal-tracker-the-real-stock-driver"/>
    <w:p>
      <w:pPr>
        <w:pStyle w:val="Heading2"/>
      </w:pPr>
      <w:r>
        <w:t xml:space="preserve">Deal tracker (the real stock driver)</w:t>
      </w:r>
    </w:p>
    <w:p>
      <w:pPr>
        <w:pStyle w:val="FirstParagraph"/>
      </w:pPr>
      <w:r>
        <w:rPr>
          <w:b/>
          <w:bCs/>
        </w:rPr>
        <w:t xml:space="preserve">Kenvue acquisition</w:t>
      </w:r>
      <w:r>
        <w:t xml:space="preserve"> </w:t>
      </w:r>
      <w:r>
        <w:t xml:space="preserve">(announced Nov 3, 2025):</w:t>
      </w:r>
    </w:p>
    <w:p>
      <w:pPr>
        <w:pStyle w:val="Compact"/>
        <w:numPr>
          <w:ilvl w:val="0"/>
          <w:numId w:val="1006"/>
        </w:numPr>
      </w:pPr>
      <w:r>
        <w:t xml:space="preserve">Terms: **</w:t>
      </w:r>
      <m:oMath>
        <m:r>
          <m:t>3.50</m:t>
        </m:r>
        <m:r>
          <m:t>c</m:t>
        </m:r>
        <m:r>
          <m:t>a</m:t>
        </m:r>
        <m:r>
          <m:t>s</m:t>
        </m:r>
        <m:r>
          <m:t>h</m:t>
        </m:r>
        <m:r>
          <m:rPr>
            <m:sty m:val="p"/>
          </m:rPr>
          <m:t>+</m:t>
        </m:r>
        <m:r>
          <m:t>0.14625</m:t>
        </m:r>
        <m:r>
          <m:t>K</m:t>
        </m:r>
        <m:r>
          <m:t>M</m:t>
        </m:r>
        <m:r>
          <m:t>B</m:t>
        </m:r>
        <m:r>
          <m:t>s</m:t>
        </m:r>
        <m:r>
          <m:t>h</m:t>
        </m:r>
        <m:r>
          <m:t>a</m:t>
        </m:r>
        <m:r>
          <m:t>r</m:t>
        </m:r>
        <m:r>
          <m:t>e</m:t>
        </m:r>
        <m:r>
          <m:t>s</m:t>
        </m:r>
        <m:r>
          <m:rPr>
            <m:sty m:val="p"/>
          </m:rPr>
          <m:t>*</m:t>
        </m:r>
        <m:r>
          <m:rPr>
            <m:sty m:val="p"/>
          </m:rPr>
          <m:t>*</m:t>
        </m:r>
        <m:r>
          <m:t>p</m:t>
        </m:r>
        <m:r>
          <m:t>e</m:t>
        </m:r>
        <m:r>
          <m:t>r</m:t>
        </m:r>
        <m:r>
          <m:t>K</m:t>
        </m:r>
        <m:r>
          <m:t>V</m:t>
        </m:r>
        <m:r>
          <m:t>U</m:t>
        </m:r>
        <m:r>
          <m:t>E</m:t>
        </m:r>
        <m:r>
          <m:t>s</m:t>
        </m:r>
        <m:r>
          <m:t>h</m:t>
        </m:r>
        <m:r>
          <m:t>a</m:t>
        </m:r>
        <m:r>
          <m:t>r</m:t>
        </m:r>
        <m:r>
          <m:t>e</m:t>
        </m:r>
        <m:r>
          <m:rPr>
            <m:sty m:val="p"/>
          </m:rPr>
          <m:t>(</m:t>
        </m:r>
        <m:r>
          <m:t> </m:t>
        </m:r>
      </m:oMath>
      <w:r>
        <w:t xml:space="preserve">21.01/sh at announcement);</w:t>
      </w:r>
      <w:r>
        <w:t xml:space="preserve"> </w:t>
      </w:r>
      <w:r>
        <w:rPr>
          <w:b/>
          <w:bCs/>
        </w:rPr>
        <w:t xml:space="preserve">~</w:t>
      </w:r>
      <m:oMath>
        <m:r>
          <m:t>48.7</m:t>
        </m:r>
        <m:r>
          <m:t>B</m:t>
        </m:r>
        <m:r>
          <m:t>E</m:t>
        </m:r>
        <m:r>
          <m:t>V</m:t>
        </m:r>
        <m:r>
          <m:rPr>
            <m:sty m:val="p"/>
          </m:rPr>
          <m:t>/</m:t>
        </m:r>
        <m:r>
          <m:t> </m:t>
        </m:r>
      </m:oMath>
      <w:r>
        <w:rPr>
          <w:b/>
          <w:bCs/>
        </w:rPr>
        <w:t xml:space="preserve">40B equity</w:t>
      </w:r>
      <w:r>
        <w:t xml:space="preserve">. Post-close ownership ~</w:t>
      </w:r>
      <w:r>
        <w:rPr>
          <w:b/>
          <w:bCs/>
        </w:rPr>
        <w:t xml:space="preserve">54% legacy KMB / ~46% legacy KVUE</w:t>
      </w:r>
      <w:r>
        <w:t xml:space="preserve">.</w:t>
      </w:r>
    </w:p>
    <w:p>
      <w:pPr>
        <w:pStyle w:val="Compact"/>
        <w:numPr>
          <w:ilvl w:val="0"/>
          <w:numId w:val="1006"/>
        </w:numPr>
      </w:pPr>
      <w:r>
        <w:t xml:space="preserve">Cash funded via cash on hand, new debt, and</w:t>
      </w:r>
      <w:r>
        <w:t xml:space="preserve"> </w:t>
      </w:r>
      <w:r>
        <w:rPr>
          <w:b/>
          <w:bCs/>
        </w:rPr>
        <w:t xml:space="preserve">IFP transaction proceeds</w:t>
      </w:r>
      <w:r>
        <w:t xml:space="preserve">.</w:t>
      </w:r>
    </w:p>
    <w:p>
      <w:pPr>
        <w:pStyle w:val="Compact"/>
        <w:numPr>
          <w:ilvl w:val="0"/>
          <w:numId w:val="1006"/>
        </w:numPr>
      </w:pPr>
      <w:r>
        <w:rPr>
          <w:b/>
          <w:bCs/>
        </w:rPr>
        <w:t xml:space="preserve">Shareholders (both sides) approved Jan 29, 2026</w:t>
      </w:r>
      <w:r>
        <w:t xml:space="preserve"> </w:t>
      </w:r>
      <w:r>
        <w:t xml:space="preserve">(~96% of KMB shares voted; ~99% of KVUE shares voted).</w:t>
      </w:r>
      <w:r>
        <w:t xml:space="preserve"> </w:t>
      </w:r>
      <w:r>
        <w:rPr>
          <w:b/>
          <w:bCs/>
        </w:rPr>
        <w:t xml:space="preserve">HSR waiting period expired Feb 4, 2026.</w:t>
      </w:r>
    </w:p>
    <w:p>
      <w:pPr>
        <w:pStyle w:val="Compact"/>
        <w:numPr>
          <w:ilvl w:val="0"/>
          <w:numId w:val="1006"/>
        </w:numPr>
      </w:pPr>
      <w:r>
        <w:t xml:space="preserve">Now in an</w:t>
      </w:r>
      <w:r>
        <w:t xml:space="preserve"> </w:t>
      </w:r>
      <w:r>
        <w:rPr>
          <w:b/>
          <w:bCs/>
        </w:rPr>
        <w:t xml:space="preserve">FTC "second request" review</w:t>
      </w:r>
      <w:r>
        <w:t xml:space="preserve">; management still guides to a</w:t>
      </w:r>
      <w:r>
        <w:t xml:space="preserve"> </w:t>
      </w:r>
      <w:r>
        <w:rPr>
          <w:b/>
          <w:bCs/>
        </w:rPr>
        <w:t xml:space="preserve">2H 2026 close</w:t>
      </w:r>
      <w:r>
        <w:t xml:space="preserve">.</w:t>
      </w:r>
    </w:p>
    <w:p>
      <w:pPr>
        <w:pStyle w:val="Compact"/>
        <w:numPr>
          <w:ilvl w:val="0"/>
          <w:numId w:val="1006"/>
        </w:numPr>
      </w:pPr>
      <w:r>
        <w:t xml:space="preserve">Strategic thesis (per Hsu): Kenvue's issues are</w:t>
      </w:r>
      <w:r>
        <w:t xml:space="preserve"> </w:t>
      </w:r>
      <w:r>
        <w:rPr>
          <w:b/>
          <w:bCs/>
        </w:rPr>
        <w:t xml:space="preserve">"executional, not structural"</w:t>
      </w:r>
      <w:r>
        <w:t xml:space="preserve"> </w:t>
      </w:r>
      <w:r>
        <w:t xml:space="preserve">(mainly NA skin care, NA oral care, China); &gt;40 integration teams running; synergy line-of-sight across COGS, SG&amp;A, and revenue.</w:t>
      </w:r>
    </w:p>
    <w:p>
      <w:pPr>
        <w:pStyle w:val="FirstParagraph"/>
      </w:pPr>
      <w:r>
        <w:rPr>
          <w:b/>
          <w:bCs/>
        </w:rPr>
        <w:t xml:space="preserve">IFP / Suzano JV:</w:t>
      </w:r>
      <w:r>
        <w:t xml:space="preserve"> </w:t>
      </w:r>
      <w:r>
        <w:t xml:space="preserve">expected to close</w:t>
      </w:r>
      <w:r>
        <w:t xml:space="preserve"> </w:t>
      </w:r>
      <w:r>
        <w:rPr>
          <w:b/>
          <w:bCs/>
        </w:rPr>
        <w:t xml:space="preserve">mid-2026</w:t>
      </w:r>
      <w:r>
        <w:t xml:space="preserve">; proceeds part-fund the Kenvue cash. Watch for any confirmation it has closed or slipped.</w:t>
      </w:r>
    </w:p>
    <w:p>
      <w:pPr>
        <w:pStyle w:val="BodyText"/>
      </w:pPr>
      <w:r>
        <w:rPr>
          <w:b/>
          <w:bCs/>
        </w:rPr>
        <w:t xml:space="preserve">What to watch:</w:t>
      </w:r>
      <w:r>
        <w:t xml:space="preserve"> </w:t>
      </w:r>
      <w:r>
        <w:t xml:space="preserve">any update on FTC engagement/timing, financing terms, expected synergies quantification, or a firmer close date. Given the FTC's stated focus on consumer-essentials concentration,</w:t>
      </w:r>
      <w:r>
        <w:t xml:space="preserve"> </w:t>
      </w:r>
      <w:r>
        <w:rPr>
          <w:b/>
          <w:bCs/>
        </w:rPr>
        <w:t xml:space="preserve">regulatory commentary is the highest-beta item on the call.</w:t>
      </w:r>
    </w:p>
    <w:p>
      <w:r>
        <w:pict>
          <v:rect style="width:0;height:1.5pt" o:hralign="center" o:hrstd="t" o:hr="t"/>
        </w:pict>
      </w:r>
    </w:p>
    <w:bookmarkEnd w:id="15"/>
    <w:bookmarkStart w:id="16" w:name="business-fundamentals-to-monitor"/>
    <w:p>
      <w:pPr>
        <w:pStyle w:val="Heading2"/>
      </w:pPr>
      <w:r>
        <w:t xml:space="preserve">Business fundamentals to monitor</w:t>
      </w:r>
    </w:p>
    <w:p>
      <w:pPr>
        <w:pStyle w:val="Compact"/>
        <w:numPr>
          <w:ilvl w:val="0"/>
          <w:numId w:val="1007"/>
        </w:numPr>
      </w:pPr>
      <w:r>
        <w:rPr>
          <w:b/>
          <w:bCs/>
        </w:rPr>
        <w:t xml:space="preserve">North America:</w:t>
      </w:r>
      <w:r>
        <w:t xml:space="preserve"> </w:t>
      </w:r>
      <w:r>
        <w:t xml:space="preserve">Is innovation-led volume still driving share (diapers/Huggies trial via Snug &amp; Dry promo; club-channel distribution normalization) without margin-destructive promotion? Watch shipment-vs-consumption timing (Q1 consumption ran ~200 bps ahead of shipments).</w:t>
      </w:r>
    </w:p>
    <w:p>
      <w:pPr>
        <w:pStyle w:val="Compact"/>
        <w:numPr>
          <w:ilvl w:val="0"/>
          <w:numId w:val="1007"/>
        </w:numPr>
      </w:pPr>
      <w:r>
        <w:rPr>
          <w:b/>
          <w:bCs/>
        </w:rPr>
        <w:t xml:space="preserve">International Personal Care:</w:t>
      </w:r>
      <w:r>
        <w:t xml:space="preserve"> </w:t>
      </w:r>
      <w:r>
        <w:t xml:space="preserve">Strong momentum — Southeast Asia (Vietnam), India, Australia, and a</w:t>
      </w:r>
      <w:r>
        <w:t xml:space="preserve"> </w:t>
      </w:r>
      <w:r>
        <w:rPr>
          <w:b/>
          <w:bCs/>
        </w:rPr>
        <w:t xml:space="preserve">Korea baby-boom tailwind</w:t>
      </w:r>
      <w:r>
        <w:t xml:space="preserve"> </w:t>
      </w:r>
      <w:r>
        <w:t xml:space="preserve">(category +20%, KMB ~60% share). Watch Middle East/Red Sea shipping disruption and FX (Argentina/Türkiye).</w:t>
      </w:r>
    </w:p>
    <w:p>
      <w:pPr>
        <w:pStyle w:val="Compact"/>
        <w:numPr>
          <w:ilvl w:val="0"/>
          <w:numId w:val="1007"/>
        </w:numPr>
      </w:pPr>
      <w:r>
        <w:rPr>
          <w:b/>
          <w:bCs/>
        </w:rPr>
        <w:t xml:space="preserve">Productivity:</w:t>
      </w:r>
      <w:r>
        <w:t xml:space="preserve"> </w:t>
      </w:r>
      <w:r>
        <w:t xml:space="preserve">Tracking to ~6% gross productivity and the ~$200M Powering Care overhead savings — the fuel for reinvestment and cost offset.</w:t>
      </w:r>
    </w:p>
    <w:p>
      <w:pPr>
        <w:pStyle w:val="Compact"/>
        <w:numPr>
          <w:ilvl w:val="0"/>
          <w:numId w:val="1007"/>
        </w:numPr>
      </w:pPr>
      <w:r>
        <w:rPr>
          <w:b/>
          <w:bCs/>
        </w:rPr>
        <w:t xml:space="preserve">Tax:</w:t>
      </w:r>
      <w:r>
        <w:t xml:space="preserve"> </w:t>
      </w:r>
      <w:r>
        <w:t xml:space="preserve">Adjusted rate stepped up (~26% in Q1 vs ~23% full-year target) — watch the trajectory, as it's been the main EPS swing factor.</w:t>
      </w:r>
    </w:p>
    <w:p>
      <w:r>
        <w:pict>
          <v:rect style="width:0;height:1.5pt" o:hralign="center" o:hrstd="t" o:hr="t"/>
        </w:pict>
      </w:r>
    </w:p>
    <w:bookmarkEnd w:id="16"/>
    <w:bookmarkStart w:id="17" w:name="stock-context"/>
    <w:p>
      <w:pPr>
        <w:pStyle w:val="Heading2"/>
      </w:pPr>
      <w:r>
        <w:t xml:space="preserve">Stock context</w:t>
      </w:r>
    </w:p>
    <w:p>
      <w:pPr>
        <w:pStyle w:val="Compact"/>
        <w:numPr>
          <w:ilvl w:val="0"/>
          <w:numId w:val="1008"/>
        </w:numPr>
      </w:pPr>
      <w:r>
        <w:t xml:space="preserve">KMB closed</w:t>
      </w:r>
      <w:r>
        <w:t xml:space="preserve"> </w:t>
      </w:r>
      <m:oMath>
        <m:r>
          <m:t>107.59</m:t>
        </m:r>
        <m:r>
          <m:t>o</m:t>
        </m:r>
        <m:r>
          <m:t>n</m:t>
        </m:r>
        <m:r>
          <m:t>A</m:t>
        </m:r>
        <m:r>
          <m:t>u</m:t>
        </m:r>
        <m:r>
          <m:t>g</m:t>
        </m:r>
        <m:r>
          <m:t>3</m:t>
        </m:r>
        <m:r>
          <m:rPr>
            <m:sty m:val="p"/>
          </m:rPr>
          <m:t>,</m:t>
        </m:r>
        <m:r>
          <m:t>2026</m:t>
        </m:r>
        <m:r>
          <m:rPr>
            <m:sty m:val="p"/>
          </m:rPr>
          <m:t>*</m:t>
        </m:r>
        <m:r>
          <m:rPr>
            <m:sty m:val="p"/>
          </m:rPr>
          <m:t>*</m:t>
        </m:r>
        <m:r>
          <m:rPr>
            <m:sty m:val="p"/>
          </m:rPr>
          <m:t>—</m:t>
        </m:r>
        <m:r>
          <m:t>r</m:t>
        </m:r>
        <m:r>
          <m:t>o</m:t>
        </m:r>
        <m:r>
          <m:t>u</m:t>
        </m:r>
        <m:r>
          <m:t>g</m:t>
        </m:r>
        <m:r>
          <m:t>h</m:t>
        </m:r>
        <m:r>
          <m:t>l</m:t>
        </m:r>
        <m:r>
          <m:t>y</m:t>
        </m:r>
        <m:r>
          <m:rPr>
            <m:sty m:val="p"/>
          </m:rPr>
          <m:t>*</m:t>
        </m:r>
        <m:r>
          <m:rPr>
            <m:sty m:val="p"/>
          </m:rPr>
          <m:t>*</m:t>
        </m:r>
        <m:r>
          <m:rPr>
            <m:sty m:val="p"/>
          </m:rPr>
          <m:t>+</m:t>
        </m:r>
        <m:r>
          <m:t>6</m:t>
        </m:r>
      </m:oMath>
      <w:r>
        <w:rPr>
          <w:b/>
          <w:bCs/>
        </w:rPr>
        <w:t xml:space="preserve">93)</w:t>
      </w:r>
      <w:r>
        <w:t xml:space="preserve">, but</w:t>
      </w:r>
      <w:r>
        <w:t xml:space="preserve"> </w:t>
      </w:r>
      <w:r>
        <w:rPr>
          <w:b/>
          <w:bCs/>
        </w:rPr>
        <w:t xml:space="preserve">~6% below the early-July high (~$114.72)</w:t>
      </w:r>
      <w:r>
        <w:t xml:space="preserve">.</w:t>
      </w:r>
    </w:p>
    <w:p>
      <w:pPr>
        <w:pStyle w:val="Compact"/>
        <w:numPr>
          <w:ilvl w:val="0"/>
          <w:numId w:val="1008"/>
        </w:numPr>
      </w:pPr>
      <w:r>
        <w:t xml:space="preserve">The shares and KVUE have traded</w:t>
      </w:r>
      <w:r>
        <w:t xml:space="preserve"> </w:t>
      </w:r>
      <w:r>
        <w:rPr>
          <w:b/>
          <w:bCs/>
        </w:rPr>
        <w:t xml:space="preserve">tightly correlated</w:t>
      </w:r>
      <w:r>
        <w:t xml:space="preserve"> </w:t>
      </w:r>
      <w:r>
        <w:t xml:space="preserve">since the deal (KMB is now KVUE's largest price driver via the stock component), so KMB's reaction will partly reflect deal-spread sentiment, not just fundamentals.</w:t>
      </w:r>
    </w:p>
    <w:p>
      <w:pPr>
        <w:pStyle w:val="Compact"/>
        <w:numPr>
          <w:ilvl w:val="0"/>
          <w:numId w:val="1008"/>
        </w:numPr>
      </w:pPr>
      <w:r>
        <w:t xml:space="preserve">After a strong June–July run, expectations have risen — raising the bar for a positive surprise.</w:t>
      </w:r>
    </w:p>
    <w:p>
      <w:r>
        <w:pict>
          <v:rect style="width:0;height:1.5pt" o:hralign="center" o:hrstd="t" o:hr="t"/>
        </w:pict>
      </w:r>
    </w:p>
    <w:bookmarkEnd w:id="17"/>
    <w:bookmarkStart w:id="18" w:name="bottom-line--what-would-move-the-stock"/>
    <w:p>
      <w:pPr>
        <w:pStyle w:val="Heading2"/>
      </w:pPr>
      <w:r>
        <w:t xml:space="preserve">Bottom line — what would move the stock</w:t>
      </w:r>
    </w:p>
    <w:p>
      <w:pPr>
        <w:pStyle w:val="FirstParagraph"/>
      </w:pPr>
      <w:r>
        <w:rPr>
          <w:b/>
          <w:bCs/>
        </w:rPr>
        <w:t xml:space="preserve">Bullish:</w:t>
      </w:r>
      <w:r>
        <w:t xml:space="preserve"> </w:t>
      </w:r>
      <w:r>
        <w:t xml:space="preserve">FY guide reaffirmed with a credible 2H cost-offset plan; confirmation of on-track FTC process / 2H close; IFP close confirmed; continued NA share gains + IPC strength.</w:t>
      </w:r>
    </w:p>
    <w:p>
      <w:pPr>
        <w:pStyle w:val="BodyText"/>
      </w:pPr>
      <w:r>
        <w:rPr>
          <w:b/>
          <w:bCs/>
        </w:rPr>
        <w:t xml:space="preserve">Bearish:</w:t>
      </w:r>
      <w:r>
        <w:t xml:space="preserve"> </w:t>
      </w:r>
      <w:r>
        <w:t xml:space="preserve">Any trim to the FY profit/EPS outlook on oil/input costs; softer-than-guided organic growth against the tough comp (remember: guided</w:t>
      </w:r>
      <w:r>
        <w:t xml:space="preserve"> </w:t>
      </w:r>
      <w:r>
        <w:rPr>
          <w:i/>
          <w:iCs/>
        </w:rPr>
        <w:t xml:space="preserve">slightly below</w:t>
      </w:r>
      <w:r>
        <w:t xml:space="preserve"> </w:t>
      </w:r>
      <w:r>
        <w:t xml:space="preserve">+2.5%); FTC friction, remedy/divestiture chatter, or a pushed-out close; unexpected deal-financing cost.</w:t>
      </w:r>
    </w:p>
    <w:p>
      <w:pPr>
        <w:pStyle w:val="BodyText"/>
      </w:pPr>
      <w:r>
        <w:rPr>
          <w:b/>
          <w:bCs/>
        </w:rPr>
        <w:t xml:space="preserve">Base case:</w:t>
      </w:r>
      <w:r>
        <w:t xml:space="preserve"> </w:t>
      </w:r>
      <w:r>
        <w:t xml:space="preserve">A "beat-but-noisy" quarter on the headline (helped by FX and productivity) with all eyes on (1) the input-cost mitigation message and (2) Kenvue/FTC timing. Trade the guidance and deal commentary, not the EPS line.</w:t>
      </w:r>
    </w:p>
    <w:p>
      <w:r>
        <w:pict>
          <v:rect style="width:0;height:1.5pt" o:hralign="center" o:hrstd="t" o:hr="t"/>
        </w:pict>
      </w:r>
    </w:p>
    <w:p>
      <w:pPr>
        <w:pStyle w:val="FirstParagraph"/>
      </w:pPr>
      <w:r>
        <w:rPr>
          <w:i/>
          <w:iCs/>
        </w:rPr>
        <w:t xml:space="preserve">Sources: KMB Q1 2026 and Q2 2025 earnings releases and transcripts; KMB/KVUE merger filings and press releases; historical price data through Aug 3, 2026. Figures reflect continuing operations unless noted. This is an informational preview, not investment advice.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2026-08-04T00:27:34Z</dcterms:created>
  <dcterms:modified xsi:type="dcterms:W3CDTF">2026-08-04T00:27:34Z</dcterms:modified>
</cp:coreProperties>
</file>

<file path=docProps/custom.xml><?xml version="1.0" encoding="utf-8"?>
<Properties xmlns="http://schemas.openxmlformats.org/officeDocument/2006/custom-properties" xmlns:vt="http://schemas.openxmlformats.org/officeDocument/2006/docPropsVTypes"/>
</file>