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mb-earnings-predictions--2026-08-04"/>
    <w:p>
      <w:pPr>
        <w:pStyle w:val="Heading1"/>
      </w:pPr>
      <w:r>
        <w:t xml:space="preserve">KMB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(continuing ops)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~$1.99 vs. cons $2.00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(Q2)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~1.0% vs. cons ~1.8%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Gross Margin (yoy bps change)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~-30bps vs. cons ~+40bps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Sales Growth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~2.0% vs. cons ~2.5%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 Profit Growth (constant currency)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~4% vs. cons ~6%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2026 incremental input-cost headwind (oil/geopolitical)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150</m:t>
              </m:r>
              <m:r>
                <m:rPr>
                  <m:sty m:val="p"/>
                </m:rPr>
                <m:t>−</m:t>
              </m:r>
              <m:r>
                <m:t>170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 baked in (H2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-4.2% (FOLLOW-THROUGH)</w:t>
            </w:r>
          </w:p>
        </w:tc>
        <w:tc>
          <w:tcPr/>
          <w:p>
            <w:pPr>
              <w:pStyle w:val="Compact"/>
            </w:pPr>
            <w:r>
              <w:t xml:space="preserve">Q2 results likely show EPS roughly in-line but organic growth missing on a tough comp plus the DC-fire drag, while margins slip further on the flagged Middle East/oil-driven input cost hit; if management flags an incremental $150-170M H2 cost headwind without fully offsetting mitigation, sell-side models will need to trim FY organic growth and operating profit growth assumptions even after any narrow EPS beat, and lingering uncertainty on Kenvue close timing/financing removes a re-rating catalyst that could otherwise cushion the stock, arguing for continued downward drift over the week rather than a snapback.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2026-08-04T00:29:21Z</dcterms:created>
  <dcterms:modified xsi:type="dcterms:W3CDTF">2026-08-04T00:29:21Z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