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bd1df554366fdf20d6cda36f9c7e41126ff08a"/>
    <w:p>
      <w:pPr>
        <w:pStyle w:val="Heading1"/>
      </w:pPr>
      <w:r>
        <w:t xml:space="preserve">Kimberly-Clark (KMB) 2026 Q2 Earnings Preview</w:t>
      </w:r>
    </w:p>
    <w:p>
      <w:pPr>
        <w:pStyle w:val="BlockText"/>
      </w:pPr>
      <w:r>
        <w:rPr>
          <w:b/>
          <w:bCs/>
        </w:rPr>
        <w:t xml:space="preserve">Timing clarification:</w:t>
      </w:r>
      <w:r>
        <w:t xml:space="preserve"> </w:t>
      </w:r>
      <w:r>
        <w:t xml:space="preserve">Kimberly-Clark’s July 7 announcement schedules Q2 results for</w:t>
      </w:r>
      <w:r>
        <w:t xml:space="preserve"> </w:t>
      </w:r>
      <w:r>
        <w:rPr>
          <w:b/>
          <w:bCs/>
        </w:rPr>
        <w:t xml:space="preserve">Tuesday, August 4, 2026</w:t>
      </w:r>
      <w:r>
        <w:t xml:space="preserve">, at approximately</w:t>
      </w:r>
      <w:r>
        <w:t xml:space="preserve"> </w:t>
      </w:r>
      <w:r>
        <w:rPr>
          <w:b/>
          <w:bCs/>
        </w:rPr>
        <w:t xml:space="preserve">6:30 a.m. ET</w:t>
      </w:r>
      <w:r>
        <w:t xml:space="preserve">, followed by analyst Q&amp;A at</w:t>
      </w:r>
      <w:r>
        <w:t xml:space="preserve"> </w:t>
      </w:r>
      <w:r>
        <w:rPr>
          <w:b/>
          <w:bCs/>
        </w:rPr>
        <w:t xml:space="preserve">8:00 a.m. ET</w:t>
      </w:r>
      <w:r>
        <w:t xml:space="preserve">. Given that the current date is August 4, the report is scheduled for</w:t>
      </w:r>
      <w:r>
        <w:t xml:space="preserve"> </w:t>
      </w:r>
      <w:r>
        <w:rPr>
          <w:b/>
          <w:bCs/>
        </w:rPr>
        <w:t xml:space="preserve">today</w:t>
      </w:r>
      <w:r>
        <w:t xml:space="preserve">, not tomorrow.</w:t>
      </w:r>
    </w:p>
    <w:bookmarkStart w:id="9" w:name="investment-view-going-into-the-report"/>
    <w:p>
      <w:pPr>
        <w:pStyle w:val="Heading2"/>
      </w:pPr>
      <w:r>
        <w:t xml:space="preserve">Investment view going into the report</w:t>
      </w:r>
    </w:p>
    <w:p>
      <w:pPr>
        <w:pStyle w:val="FirstParagraph"/>
      </w:pPr>
      <w:r>
        <w:t xml:space="preserve">The central question is not whether Kimberly-Clark can produce another quarter of respectable organic growth. It is whether the company can</w:t>
      </w:r>
      <w:r>
        <w:t xml:space="preserve"> </w:t>
      </w:r>
      <w:r>
        <w:rPr>
          <w:b/>
          <w:bCs/>
        </w:rPr>
        <w:t xml:space="preserve">protect margins and full-year guidance against sharply higher petroleum-linked costs without sacrificing its improving volume trajectory</w:t>
      </w:r>
      <w:r>
        <w:t xml:space="preserve">.</w:t>
      </w:r>
    </w:p>
    <w:p>
      <w:pPr>
        <w:pStyle w:val="BodyText"/>
      </w:pPr>
      <w:r>
        <w:t xml:space="preserve">Three issues should determine the stock reaction:</w:t>
      </w:r>
    </w:p>
    <w:p>
      <w:pPr>
        <w:pStyle w:val="Compact"/>
        <w:numPr>
          <w:ilvl w:val="0"/>
          <w:numId w:val="1001"/>
        </w:numPr>
      </w:pPr>
      <w:r>
        <w:rPr>
          <w:b/>
          <w:bCs/>
        </w:rPr>
        <w:t xml:space="preserve">The quality of organic growth:</w:t>
      </w:r>
      <w:r>
        <w:t xml:space="preserve"> </w:t>
      </w:r>
      <w:r>
        <w:t xml:space="preserve">volume and mix versus price and promotion.</w:t>
      </w:r>
    </w:p>
    <w:p>
      <w:pPr>
        <w:pStyle w:val="Compact"/>
        <w:numPr>
          <w:ilvl w:val="0"/>
          <w:numId w:val="1001"/>
        </w:numPr>
      </w:pPr>
      <w:r>
        <w:rPr>
          <w:b/>
          <w:bCs/>
        </w:rPr>
        <w:t xml:space="preserve">The size and timing of commodity inflation—and the credibility of mitigation plans.</w:t>
      </w:r>
    </w:p>
    <w:p>
      <w:pPr>
        <w:pStyle w:val="Compact"/>
        <w:numPr>
          <w:ilvl w:val="0"/>
          <w:numId w:val="1001"/>
        </w:numPr>
      </w:pPr>
      <w:r>
        <w:rPr>
          <w:b/>
          <w:bCs/>
        </w:rPr>
        <w:t xml:space="preserve">Execution and financing milestones for the pending Kenvue acquisition and the Suzano joint venture.</w:t>
      </w:r>
    </w:p>
    <w:p>
      <w:pPr>
        <w:pStyle w:val="FirstParagraph"/>
      </w:pPr>
      <w:r>
        <w:t xml:space="preserve">KMB shares closed August 3 at</w:t>
      </w:r>
      <w:r>
        <w:t xml:space="preserve"> </w:t>
      </w:r>
      <w:r>
        <w:rPr>
          <w:b/>
          <w:bCs/>
        </w:rPr>
        <w:t xml:space="preserve">$107.59</w:t>
      </w:r>
      <w:r>
        <w:t xml:space="preserve">, approximately 9% above their April 28 close following Q1 earnings. That outperformed both the S&amp;P 500 and the consumer-staples sector over the same period, although the stock has retreated roughly 6% from its early-July high. The setup therefore appears constructive but not undemanding: simply maintaining guidance may be insufficient unless management also reduces uncertainty around second-half costs and the pending transactions.</w:t>
      </w:r>
    </w:p>
    <w:bookmarkEnd w:id="9"/>
    <w:bookmarkStart w:id="10" w:name="key-reference-points"/>
    <w:p>
      <w:pPr>
        <w:pStyle w:val="Heading2"/>
      </w:pPr>
      <w:r>
        <w:t xml:space="preserve">Key reference points</w:t>
      </w:r>
    </w:p>
    <w:p>
      <w:pPr>
        <w:pStyle w:val="FirstParagraph"/>
      </w:pPr>
      <w:r>
        <w:t xml:space="preserve">No reliable current consensus estimates were available in the supplied sources, so the most useful benchmarks are management’s guidance and prior-year results.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 comparison</w:t>
            </w:r>
          </w:p>
        </w:tc>
        <w:tc>
          <w:tcPr/>
          <w:p>
            <w:pPr>
              <w:pStyle w:val="Compact"/>
            </w:pPr>
            <w:r>
              <w:t xml:space="preserve">Relevant Q2 guidepost</w:t>
            </w:r>
          </w:p>
        </w:tc>
      </w:tr>
      <w:tr>
        <w:tc>
          <w:tcPr/>
          <w:p>
            <w:pPr>
              <w:pStyle w:val="Compact"/>
            </w:pPr>
            <w:r>
              <w:t xml:space="preserve">Net sales</w:t>
            </w:r>
          </w:p>
        </w:tc>
        <w:tc>
          <w:tcPr/>
          <w:p>
            <w:pPr>
              <w:pStyle w:val="Compact"/>
              <w:jc w:val="right"/>
            </w:pPr>
            <w:r>
              <w:t xml:space="preserve">$4.16B</w:t>
            </w:r>
          </w:p>
        </w:tc>
        <w:tc>
          <w:tcPr/>
          <w:p>
            <w:pPr>
              <w:pStyle w:val="Compact"/>
              <w:jc w:val="right"/>
            </w:pPr>
            <w:r>
              <w:t xml:space="preserve">$4.16B</w:t>
            </w:r>
          </w:p>
        </w:tc>
        <w:tc>
          <w:tcPr/>
          <w:p>
            <w:pPr>
              <w:pStyle w:val="Compact"/>
            </w:pPr>
            <w:r>
              <w:t xml:space="preserve">Reported growth affected by currency and business exits</w:t>
            </w:r>
          </w:p>
        </w:tc>
      </w:tr>
      <w:tr>
        <w:tc>
          <w:tcPr/>
          <w:p>
            <w:pPr>
              <w:pStyle w:val="Compact"/>
            </w:pPr>
            <w:r>
              <w:t xml:space="preserve">Organic sales growth</w:t>
            </w:r>
          </w:p>
        </w:tc>
        <w:tc>
          <w:tcPr/>
          <w:p>
            <w:pPr>
              <w:pStyle w:val="Compact"/>
              <w:jc w:val="right"/>
            </w:pPr>
            <w:r>
              <w:t xml:space="preserve">2.5%</w:t>
            </w:r>
          </w:p>
        </w:tc>
        <w:tc>
          <w:tcPr/>
          <w:p>
            <w:pPr>
              <w:pStyle w:val="Compact"/>
              <w:jc w:val="right"/>
            </w:pPr>
            <w:r>
              <w:t xml:space="preserve">3.9%</w:t>
            </w:r>
          </w:p>
        </w:tc>
        <w:tc>
          <w:tcPr/>
          <w:p>
            <w:pPr>
              <w:pStyle w:val="Compact"/>
            </w:pPr>
            <w:r>
              <w:t xml:space="preserve">Management expects Q2 growth</w:t>
            </w:r>
            <w:r>
              <w:t xml:space="preserve"> </w:t>
            </w:r>
            <w:r>
              <w:rPr>
                <w:b/>
                <w:bCs/>
              </w:rPr>
              <w:t xml:space="preserve">slightly below Q1</w:t>
            </w:r>
          </w:p>
        </w:tc>
      </w:tr>
      <w:tr>
        <w:tc>
          <w:tcPr/>
          <w:p>
            <w:pPr>
              <w:pStyle w:val="Compact"/>
            </w:pPr>
            <w:r>
              <w:t xml:space="preserve">Volume plus mix</w:t>
            </w:r>
          </w:p>
        </w:tc>
        <w:tc>
          <w:tcPr/>
          <w:p>
            <w:pPr>
              <w:pStyle w:val="Compact"/>
              <w:jc w:val="right"/>
            </w:pPr>
            <w:r>
              <w:t xml:space="preserve">3.0%</w:t>
            </w:r>
          </w:p>
        </w:tc>
        <w:tc>
          <w:tcPr/>
          <w:p>
            <w:pPr>
              <w:pStyle w:val="Compact"/>
              <w:jc w:val="right"/>
            </w:pPr>
            <w:r>
              <w:t xml:space="preserve">4.9%</w:t>
            </w:r>
          </w:p>
        </w:tc>
        <w:tc>
          <w:tcPr/>
          <w:p>
            <w:pPr>
              <w:pStyle w:val="Compact"/>
            </w:pPr>
            <w:r>
              <w:t xml:space="preserve">Positive volume/mix is central to the thesis</w:t>
            </w:r>
          </w:p>
        </w:tc>
      </w:tr>
      <w:tr>
        <w:tc>
          <w:tcPr/>
          <w:p>
            <w:pPr>
              <w:pStyle w:val="Compact"/>
            </w:pPr>
            <w:r>
              <w:t xml:space="preserve">Adjusted gross margin</w:t>
            </w:r>
          </w:p>
        </w:tc>
        <w:tc>
          <w:tcPr/>
          <w:p>
            <w:pPr>
              <w:pStyle w:val="Compact"/>
              <w:jc w:val="right"/>
            </w:pPr>
            <w:r>
              <w:t xml:space="preserve">37.9%</w:t>
            </w:r>
          </w:p>
        </w:tc>
        <w:tc>
          <w:tcPr/>
          <w:p>
            <w:pPr>
              <w:pStyle w:val="Compact"/>
              <w:jc w:val="right"/>
            </w:pPr>
            <w:r>
              <w:t xml:space="preserve">36.9%</w:t>
            </w:r>
          </w:p>
        </w:tc>
        <w:tc>
          <w:tcPr/>
          <w:p>
            <w:pPr>
              <w:pStyle w:val="Compact"/>
            </w:pPr>
            <w:r>
              <w:t xml:space="preserve">Management expected margins to improve through the year</w:t>
            </w:r>
          </w:p>
        </w:tc>
      </w:tr>
      <w:tr>
        <w:tc>
          <w:tcPr/>
          <w:p>
            <w:pPr>
              <w:pStyle w:val="Compact"/>
            </w:pPr>
            <w:r>
              <w:t xml:space="preserve">Adjusted operating profit</w:t>
            </w:r>
          </w:p>
        </w:tc>
        <w:tc>
          <w:tcPr/>
          <w:p>
            <w:pPr>
              <w:pStyle w:val="Compact"/>
              <w:jc w:val="right"/>
            </w:pPr>
            <w:r>
              <w:t xml:space="preserve">$732M</w:t>
            </w:r>
          </w:p>
        </w:tc>
        <w:tc>
          <w:tcPr/>
          <w:p>
            <w:pPr>
              <w:pStyle w:val="Compact"/>
              <w:jc w:val="right"/>
            </w:pPr>
            <w:r>
              <w:t xml:space="preserve">$713M</w:t>
            </w:r>
          </w:p>
        </w:tc>
        <w:tc>
          <w:tcPr/>
          <w:p>
            <w:pPr>
              <w:pStyle w:val="Compact"/>
            </w:pPr>
            <w:r>
              <w:t xml:space="preserve">Approximately $50M of expected Q2 cost pressure</w:t>
            </w:r>
          </w:p>
        </w:tc>
      </w:tr>
      <w:tr>
        <w:tc>
          <w:tcPr/>
          <w:p>
            <w:pPr>
              <w:pStyle w:val="Compact"/>
            </w:pPr>
            <w:r>
              <w:t xml:space="preserve">Adjusted continuing-operations EPS</w:t>
            </w:r>
          </w:p>
        </w:tc>
        <w:tc>
          <w:tcPr/>
          <w:p>
            <w:pPr>
              <w:pStyle w:val="Compact"/>
              <w:jc w:val="right"/>
            </w:pPr>
            <w:r>
              <w:t xml:space="preserve">$1.60</w:t>
            </w:r>
          </w:p>
        </w:tc>
        <w:tc>
          <w:tcPr/>
          <w:p>
            <w:pPr>
              <w:pStyle w:val="Compact"/>
              <w:jc w:val="right"/>
            </w:pPr>
            <w:r>
              <w:t xml:space="preserve">$1.63</w:t>
            </w:r>
          </w:p>
        </w:tc>
        <w:tc>
          <w:tcPr/>
          <w:p>
            <w:pPr>
              <w:pStyle w:val="Compact"/>
            </w:pPr>
            <w:r>
              <w:t xml:space="preserve">Tax and below-the-line items may obscure operations</w:t>
            </w:r>
          </w:p>
        </w:tc>
      </w:tr>
      <w:tr>
        <w:tc>
          <w:tcPr/>
          <w:p>
            <w:pPr>
              <w:pStyle w:val="Compact"/>
            </w:pPr>
            <w:r>
              <w:t xml:space="preserve">Adjusted EPS attributable to KMB</w:t>
            </w:r>
          </w:p>
        </w:tc>
        <w:tc>
          <w:tcPr/>
          <w:p>
            <w:pPr>
              <w:pStyle w:val="Compact"/>
              <w:jc w:val="right"/>
            </w:pPr>
            <w:r>
              <w:t xml:space="preserve">$1.97</w:t>
            </w:r>
          </w:p>
        </w:tc>
        <w:tc>
          <w:tcPr/>
          <w:p>
            <w:pPr>
              <w:pStyle w:val="Compact"/>
              <w:jc w:val="right"/>
            </w:pPr>
            <w:r>
              <w:t xml:space="preserve">$1.92</w:t>
            </w:r>
          </w:p>
        </w:tc>
        <w:tc>
          <w:tcPr/>
          <w:p>
            <w:pPr>
              <w:pStyle w:val="Compact"/>
            </w:pPr>
            <w:r>
              <w:t xml:space="preserve">Includes discontinued IFP operations</w:t>
            </w:r>
          </w:p>
        </w:tc>
      </w:tr>
    </w:tbl>
    <w:bookmarkEnd w:id="10"/>
    <w:bookmarkStart w:id="13" w:name="X59ca34403c893a63342255912e4e8ce8036186b"/>
    <w:p>
      <w:pPr>
        <w:pStyle w:val="Heading2"/>
      </w:pPr>
      <w:r>
        <w:t xml:space="preserve">1. Organic growth: expect a sequential slowdown, but focus on composition</w:t>
      </w:r>
    </w:p>
    <w:p>
      <w:pPr>
        <w:pStyle w:val="FirstParagraph"/>
      </w:pPr>
      <w:r>
        <w:t xml:space="preserve">Management explicitly guided to Q2 organic growth</w:t>
      </w:r>
      <w:r>
        <w:t xml:space="preserve"> </w:t>
      </w:r>
      <w:r>
        <w:rPr>
          <w:b/>
          <w:bCs/>
        </w:rPr>
        <w:t xml:space="preserve">slightly below Q1’s 2.5%</w:t>
      </w:r>
      <w:r>
        <w:t xml:space="preserve">, citing:</w:t>
      </w:r>
    </w:p>
    <w:p>
      <w:pPr>
        <w:pStyle w:val="Compact"/>
        <w:numPr>
          <w:ilvl w:val="0"/>
          <w:numId w:val="1002"/>
        </w:numPr>
      </w:pPr>
      <w:r>
        <w:t xml:space="preserve">A difficult comparison against Q2 2025, when organic sales rose 3.9%.</w:t>
      </w:r>
    </w:p>
    <w:p>
      <w:pPr>
        <w:pStyle w:val="Compact"/>
        <w:numPr>
          <w:ilvl w:val="0"/>
          <w:numId w:val="1002"/>
        </w:numPr>
      </w:pPr>
      <w:r>
        <w:t xml:space="preserve">Last year’s unusually strong North American product-launch shipments.</w:t>
      </w:r>
    </w:p>
    <w:p>
      <w:pPr>
        <w:pStyle w:val="Compact"/>
        <w:numPr>
          <w:ilvl w:val="0"/>
          <w:numId w:val="1002"/>
        </w:numPr>
      </w:pPr>
      <w:r>
        <w:t xml:space="preserve">Approximately</w:t>
      </w:r>
      <w:r>
        <w:t xml:space="preserve"> </w:t>
      </w:r>
      <w:r>
        <w:rPr>
          <w:b/>
          <w:bCs/>
        </w:rPr>
        <w:t xml:space="preserve">$20 million of lost Q2 sales</w:t>
      </w:r>
      <w:r>
        <w:t xml:space="preserve"> </w:t>
      </w:r>
      <w:r>
        <w:t xml:space="preserve">from the California distribution-center fire, equivalent to a 70–80 basis-point headwind for North America.</w:t>
      </w:r>
    </w:p>
    <w:p>
      <w:pPr>
        <w:pStyle w:val="FirstParagraph"/>
      </w:pPr>
      <w:r>
        <w:t xml:space="preserve">A reported organic-growth number around the low-single digits would therefore not necessarily be disappointing. More important is whether growth remains</w:t>
      </w:r>
      <w:r>
        <w:t xml:space="preserve"> </w:t>
      </w:r>
      <w:r>
        <w:rPr>
          <w:b/>
          <w:bCs/>
        </w:rPr>
        <w:t xml:space="preserve">volume- and mix-led</w:t>
      </w:r>
      <w:r>
        <w:t xml:space="preserve">.</w:t>
      </w:r>
    </w:p>
    <w:p>
      <w:pPr>
        <w:pStyle w:val="BodyText"/>
      </w:pPr>
      <w:r>
        <w:t xml:space="preserve">In Q1:</w:t>
      </w:r>
    </w:p>
    <w:p>
      <w:pPr>
        <w:pStyle w:val="Compact"/>
        <w:numPr>
          <w:ilvl w:val="0"/>
          <w:numId w:val="1003"/>
        </w:numPr>
      </w:pPr>
      <w:r>
        <w:t xml:space="preserve">Consolidated volume plus mix grew 3.0%.</w:t>
      </w:r>
    </w:p>
    <w:p>
      <w:pPr>
        <w:pStyle w:val="Compact"/>
        <w:numPr>
          <w:ilvl w:val="0"/>
          <w:numId w:val="1003"/>
        </w:numPr>
      </w:pPr>
      <w:r>
        <w:t xml:space="preserve">Pricing declined 0.5%.</w:t>
      </w:r>
    </w:p>
    <w:p>
      <w:pPr>
        <w:pStyle w:val="Compact"/>
        <w:numPr>
          <w:ilvl w:val="0"/>
          <w:numId w:val="1003"/>
        </w:numPr>
      </w:pPr>
      <w:r>
        <w:t xml:space="preserve">North American organic sales rose 1.8%.</w:t>
      </w:r>
    </w:p>
    <w:p>
      <w:pPr>
        <w:pStyle w:val="Compact"/>
        <w:numPr>
          <w:ilvl w:val="0"/>
          <w:numId w:val="1003"/>
        </w:numPr>
      </w:pPr>
      <w:r>
        <w:t xml:space="preserve">International Personal Care organic sales rose 4.0%.</w:t>
      </w:r>
    </w:p>
    <w:bookmarkStart w:id="11" w:name="what-would-be-encouraging"/>
    <w:p>
      <w:pPr>
        <w:pStyle w:val="Heading3"/>
      </w:pPr>
      <w:r>
        <w:t xml:space="preserve">What would be encouraging</w:t>
      </w:r>
    </w:p>
    <w:p>
      <w:pPr>
        <w:pStyle w:val="Compact"/>
        <w:numPr>
          <w:ilvl w:val="0"/>
          <w:numId w:val="1004"/>
        </w:numPr>
      </w:pPr>
      <w:r>
        <w:t xml:space="preserve">Positive consolidated volume and mix despite the difficult comparison.</w:t>
      </w:r>
    </w:p>
    <w:p>
      <w:pPr>
        <w:pStyle w:val="Compact"/>
        <w:numPr>
          <w:ilvl w:val="0"/>
          <w:numId w:val="1004"/>
        </w:numPr>
      </w:pPr>
      <w:r>
        <w:t xml:space="preserve">Continued share gains in Baby Care, Women’s Health and Active Aging.</w:t>
      </w:r>
    </w:p>
    <w:p>
      <w:pPr>
        <w:pStyle w:val="Compact"/>
        <w:numPr>
          <w:ilvl w:val="0"/>
          <w:numId w:val="1004"/>
        </w:numPr>
      </w:pPr>
      <w:r>
        <w:t xml:space="preserve">Evidence that promotions are driving trial and repeat purchases rather than merely renting volume.</w:t>
      </w:r>
    </w:p>
    <w:p>
      <w:pPr>
        <w:pStyle w:val="Compact"/>
        <w:numPr>
          <w:ilvl w:val="0"/>
          <w:numId w:val="1004"/>
        </w:numPr>
      </w:pPr>
      <w:r>
        <w:t xml:space="preserve">Continued premiumization, accompanied by healthy performance in value tiers.</w:t>
      </w:r>
    </w:p>
    <w:p>
      <w:pPr>
        <w:pStyle w:val="Compact"/>
        <w:numPr>
          <w:ilvl w:val="0"/>
          <w:numId w:val="1004"/>
        </w:numPr>
      </w:pPr>
      <w:r>
        <w:t xml:space="preserve">Consumption trends remaining ahead of shipments in North America.</w:t>
      </w:r>
    </w:p>
    <w:bookmarkEnd w:id="11"/>
    <w:bookmarkStart w:id="12" w:name="what-would-be-concerning"/>
    <w:p>
      <w:pPr>
        <w:pStyle w:val="Heading3"/>
      </w:pPr>
      <w:r>
        <w:t xml:space="preserve">What would be concerning</w:t>
      </w:r>
    </w:p>
    <w:p>
      <w:pPr>
        <w:pStyle w:val="Compact"/>
        <w:numPr>
          <w:ilvl w:val="0"/>
          <w:numId w:val="1005"/>
        </w:numPr>
      </w:pPr>
      <w:r>
        <w:t xml:space="preserve">Organic growth supported mainly by promotions while underlying volume weakens.</w:t>
      </w:r>
    </w:p>
    <w:p>
      <w:pPr>
        <w:pStyle w:val="Compact"/>
        <w:numPr>
          <w:ilvl w:val="0"/>
          <w:numId w:val="1005"/>
        </w:numPr>
      </w:pPr>
      <w:r>
        <w:t xml:space="preserve">A substantial gap between retail consumption and reported shipments that cannot be explained by timing.</w:t>
      </w:r>
    </w:p>
    <w:p>
      <w:pPr>
        <w:pStyle w:val="Compact"/>
        <w:numPr>
          <w:ilvl w:val="0"/>
          <w:numId w:val="1005"/>
        </w:numPr>
      </w:pPr>
      <w:r>
        <w:t xml:space="preserve">More pronounced consumer trade-down or private-label pressure.</w:t>
      </w:r>
    </w:p>
    <w:p>
      <w:pPr>
        <w:pStyle w:val="Compact"/>
        <w:numPr>
          <w:ilvl w:val="0"/>
          <w:numId w:val="1005"/>
        </w:numPr>
      </w:pPr>
      <w:r>
        <w:t xml:space="preserve">Weakness spreading from North America into the previously strong international business.</w:t>
      </w:r>
    </w:p>
    <w:bookmarkEnd w:id="12"/>
    <w:bookmarkEnd w:id="13"/>
    <w:bookmarkStart w:id="15" w:name="X802df9ccc72febea2b01e2d0d6017fb5b7765a5"/>
    <w:p>
      <w:pPr>
        <w:pStyle w:val="Heading2"/>
      </w:pPr>
      <w:r>
        <w:t xml:space="preserve">2. Margins and commodities are the main event</w:t>
      </w:r>
    </w:p>
    <w:p>
      <w:pPr>
        <w:pStyle w:val="FirstParagraph"/>
      </w:pPr>
      <w:r>
        <w:t xml:space="preserve">At the Q1 call, management estimated approximately</w:t>
      </w:r>
      <w:r>
        <w:t xml:space="preserve"> </w:t>
      </w:r>
      <w:r>
        <w:rPr>
          <w:b/>
          <w:bCs/>
        </w:rPr>
        <w:t xml:space="preserve">$50 million of Q2 operating-profit pressure</w:t>
      </w:r>
      <w:r>
        <w:t xml:space="preserve"> </w:t>
      </w:r>
      <w:r>
        <w:t xml:space="preserve">from the California fire and inflation associated with the Middle East conflict. It also warned that, if oil remained near</w:t>
      </w:r>
      <w:r>
        <w:t xml:space="preserve"> </w:t>
      </w:r>
      <m:oMath>
        <m:r>
          <m:t>100</m:t>
        </m:r>
        <m:r>
          <m:t>p</m:t>
        </m:r>
        <m:r>
          <m:t>e</m:t>
        </m:r>
        <m:r>
          <m:t>r</m:t>
        </m:r>
        <m:r>
          <m:t>b</m:t>
        </m:r>
        <m:r>
          <m:t>a</m:t>
        </m:r>
        <m:r>
          <m:t>r</m:t>
        </m:r>
        <m:r>
          <m:t>r</m:t>
        </m:r>
        <m:r>
          <m:t>e</m:t>
        </m:r>
        <m:r>
          <m:t>l</m:t>
        </m:r>
        <m:r>
          <m:rPr>
            <m:sty m:val="p"/>
          </m:rPr>
          <m:t>,</m:t>
        </m:r>
        <m:r>
          <m:t>g</m:t>
        </m:r>
        <m:r>
          <m:t>r</m:t>
        </m:r>
        <m:r>
          <m:t>o</m:t>
        </m:r>
        <m:r>
          <m:t>s</m:t>
        </m:r>
        <m:r>
          <m:t>s</m:t>
        </m:r>
        <m:r>
          <m:t>i</m:t>
        </m:r>
        <m:r>
          <m:t>n</m:t>
        </m:r>
        <m:r>
          <m:t>c</m:t>
        </m:r>
        <m:r>
          <m:t>r</m:t>
        </m:r>
        <m:r>
          <m:t>e</m:t>
        </m:r>
        <m:r>
          <m:t>m</m:t>
        </m:r>
        <m:r>
          <m:t>e</m:t>
        </m:r>
        <m:r>
          <m:t>n</m:t>
        </m:r>
        <m:r>
          <m:t>t</m:t>
        </m:r>
        <m:r>
          <m:t>a</m:t>
        </m:r>
        <m:r>
          <m:t>l</m:t>
        </m:r>
        <m:r>
          <m:t>i</m:t>
        </m:r>
        <m:r>
          <m:t>n</m:t>
        </m:r>
        <m:r>
          <m:t>p</m:t>
        </m:r>
        <m:r>
          <m:t>u</m:t>
        </m:r>
        <m:r>
          <m:t>t</m:t>
        </m:r>
        <m:r>
          <m:t>c</m:t>
        </m:r>
        <m:r>
          <m:t>o</m:t>
        </m:r>
        <m:r>
          <m:t>s</m:t>
        </m:r>
        <m:r>
          <m:t>t</m:t>
        </m:r>
        <m:r>
          <m:t>s</m:t>
        </m:r>
        <m:r>
          <m:t>c</m:t>
        </m:r>
        <m:r>
          <m:t>o</m:t>
        </m:r>
        <m:r>
          <m:t>u</m:t>
        </m:r>
        <m:r>
          <m:t>l</m:t>
        </m:r>
        <m:r>
          <m:t>d</m:t>
        </m:r>
        <m:r>
          <m:t>r</m:t>
        </m:r>
        <m:r>
          <m:t>e</m:t>
        </m:r>
        <m:r>
          <m:t>a</m:t>
        </m:r>
        <m:r>
          <m:t>c</m:t>
        </m:r>
        <m:r>
          <m:t>h</m:t>
        </m:r>
        <m:r>
          <m:rPr>
            <m:sty m:val="p"/>
          </m:rPr>
          <m:t>*</m:t>
        </m:r>
        <m:r>
          <m:rPr>
            <m:sty m:val="p"/>
          </m:rPr>
          <m:t>*</m:t>
        </m:r>
      </m:oMath>
      <w:r>
        <w:t xml:space="preserve">150–170 million in the second half**.</w:t>
      </w:r>
    </w:p>
    <w:p>
      <w:pPr>
        <w:pStyle w:val="BodyText"/>
      </w:pPr>
      <w:r>
        <w:t xml:space="preserve">The subsequent Q1 filing framed the potential cost at approximately</w:t>
      </w:r>
      <w:r>
        <w:t xml:space="preserve"> </w:t>
      </w:r>
      <w:r>
        <w:rPr>
          <w:b/>
          <w:bCs/>
        </w:rPr>
        <w:t xml:space="preserve">$200 million for the remainder of 2026 before mitigation</w:t>
      </w:r>
      <w:r>
        <w:t xml:space="preserve">, broadly incorporating the Q2 and second-half pressures.</w:t>
      </w:r>
    </w:p>
    <w:p>
      <w:pPr>
        <w:pStyle w:val="BodyText"/>
      </w:pPr>
      <w:r>
        <w:t xml:space="preserve">These costs are particularly relevant to KMB because petroleum affects resin, energy, transportation and other components of its cost basket.</w:t>
      </w:r>
    </w:p>
    <w:p>
      <w:pPr>
        <w:pStyle w:val="BodyText"/>
      </w:pPr>
      <w:r>
        <w:t xml:space="preserve">Management did not include the full potential second-half pressure—or the related mitigation actions—in its Q1 outlook. That makes this report the first meaningful opportunity to assess:</w:t>
      </w:r>
    </w:p>
    <w:p>
      <w:pPr>
        <w:pStyle w:val="Compact"/>
        <w:numPr>
          <w:ilvl w:val="0"/>
          <w:numId w:val="1006"/>
        </w:numPr>
      </w:pPr>
      <w:r>
        <w:t xml:space="preserve">How much inflation has actually entered the P&amp;L.</w:t>
      </w:r>
    </w:p>
    <w:p>
      <w:pPr>
        <w:pStyle w:val="Compact"/>
        <w:numPr>
          <w:ilvl w:val="0"/>
          <w:numId w:val="1006"/>
        </w:numPr>
      </w:pPr>
      <w:r>
        <w:t xml:space="preserve">Whether oil and resin assumptions have improved or deteriorated.</w:t>
      </w:r>
    </w:p>
    <w:p>
      <w:pPr>
        <w:pStyle w:val="Compact"/>
        <w:numPr>
          <w:ilvl w:val="0"/>
          <w:numId w:val="1006"/>
        </w:numPr>
      </w:pPr>
      <w:r>
        <w:t xml:space="preserve">How quickly supplier surcharges and contract resets are flowing through.</w:t>
      </w:r>
    </w:p>
    <w:p>
      <w:pPr>
        <w:pStyle w:val="Compact"/>
        <w:numPr>
          <w:ilvl w:val="0"/>
          <w:numId w:val="1006"/>
        </w:numPr>
      </w:pPr>
      <w:r>
        <w:t xml:space="preserve">The balance among pricing, productivity, sourcing, hedging and spending controls.</w:t>
      </w:r>
    </w:p>
    <w:p>
      <w:pPr>
        <w:pStyle w:val="Compact"/>
        <w:numPr>
          <w:ilvl w:val="0"/>
          <w:numId w:val="1006"/>
        </w:numPr>
      </w:pPr>
      <w:r>
        <w:t xml:space="preserve">Whether mitigation merely protects guidance or preserves planned reinvestment.</w:t>
      </w:r>
    </w:p>
    <w:bookmarkStart w:id="14" w:name="productivity-remains-the-critical-offset"/>
    <w:p>
      <w:pPr>
        <w:pStyle w:val="Heading3"/>
      </w:pPr>
      <w:r>
        <w:t xml:space="preserve">Productivity remains the critical offset</w:t>
      </w:r>
    </w:p>
    <w:p>
      <w:pPr>
        <w:pStyle w:val="FirstParagraph"/>
      </w:pPr>
      <w:r>
        <w:t xml:space="preserve">KMB delivered approximately</w:t>
      </w:r>
      <w:r>
        <w:t xml:space="preserve"> </w:t>
      </w:r>
      <w:r>
        <w:rPr>
          <w:b/>
          <w:bCs/>
        </w:rPr>
        <w:t xml:space="preserve">$115 million of gross productivity savings in Q1</w:t>
      </w:r>
      <w:r>
        <w:t xml:space="preserve"> </w:t>
      </w:r>
      <w:r>
        <w:t xml:space="preserve">and has targeted another year of roughly 6% gross productivity. Management has also highlighted:</w:t>
      </w:r>
    </w:p>
    <w:p>
      <w:pPr>
        <w:pStyle w:val="Compact"/>
        <w:numPr>
          <w:ilvl w:val="0"/>
          <w:numId w:val="1007"/>
        </w:numPr>
      </w:pPr>
      <w:r>
        <w:t xml:space="preserve">Programmatic hedging and supplier contracts covering much of its cost basket.</w:t>
      </w:r>
    </w:p>
    <w:p>
      <w:pPr>
        <w:pStyle w:val="Compact"/>
        <w:numPr>
          <w:ilvl w:val="0"/>
          <w:numId w:val="1007"/>
        </w:numPr>
      </w:pPr>
      <w:r>
        <w:t xml:space="preserve">Revenue-growth management and price-pack architecture.</w:t>
      </w:r>
    </w:p>
    <w:p>
      <w:pPr>
        <w:pStyle w:val="Compact"/>
        <w:numPr>
          <w:ilvl w:val="0"/>
          <w:numId w:val="1007"/>
        </w:numPr>
      </w:pPr>
      <w:r>
        <w:t xml:space="preserve">North American supply-chain investments.</w:t>
      </w:r>
    </w:p>
    <w:p>
      <w:pPr>
        <w:pStyle w:val="Compact"/>
        <w:numPr>
          <w:ilvl w:val="0"/>
          <w:numId w:val="1007"/>
        </w:numPr>
      </w:pPr>
      <w:r>
        <w:t xml:space="preserve">Approximately $200 million of Powering Care overhead savings, around 90% of which had been realized or approved as of Q1.</w:t>
      </w:r>
    </w:p>
    <w:p>
      <w:pPr>
        <w:pStyle w:val="FirstParagraph"/>
      </w:pPr>
      <w:r>
        <w:t xml:space="preserve">The strongest result would be continued productivity at or above plan, accompanied by selective revenue management that does not derail volume.</w:t>
      </w:r>
    </w:p>
    <w:bookmarkEnd w:id="14"/>
    <w:bookmarkEnd w:id="15"/>
    <w:bookmarkStart w:id="16" w:name="Xa73733b835284fc862f0d6d5ba862fe4de90a72"/>
    <w:p>
      <w:pPr>
        <w:pStyle w:val="Heading2"/>
      </w:pPr>
      <w:r>
        <w:t xml:space="preserve">3. Full-year guidance: a reiteration needs to be credible</w:t>
      </w:r>
    </w:p>
    <w:p>
      <w:pPr>
        <w:pStyle w:val="FirstParagraph"/>
      </w:pPr>
      <w:r>
        <w:t xml:space="preserve">KMB’s standing 2026 outlook calls for:</w:t>
      </w:r>
    </w:p>
    <w:p>
      <w:pPr>
        <w:pStyle w:val="Compact"/>
        <w:numPr>
          <w:ilvl w:val="0"/>
          <w:numId w:val="1008"/>
        </w:numPr>
      </w:pPr>
      <w:r>
        <w:rPr>
          <w:b/>
          <w:bCs/>
        </w:rPr>
        <w:t xml:space="preserve">Organic sales growth:</w:t>
      </w:r>
      <w:r>
        <w:t xml:space="preserve"> </w:t>
      </w:r>
      <w:r>
        <w:t xml:space="preserve">in line with or ahead of category growth, recently estimated at approximately 2.5%.</w:t>
      </w:r>
    </w:p>
    <w:p>
      <w:pPr>
        <w:pStyle w:val="Compact"/>
        <w:numPr>
          <w:ilvl w:val="0"/>
          <w:numId w:val="1008"/>
        </w:numPr>
      </w:pPr>
      <w:r>
        <w:rPr>
          <w:b/>
          <w:bCs/>
        </w:rPr>
        <w:t xml:space="preserve">Adjusted operating profit:</w:t>
      </w:r>
      <w:r>
        <w:t xml:space="preserve"> </w:t>
      </w:r>
      <w:r>
        <w:t xml:space="preserve">mid- to high-single-digit constant-currency growth.</w:t>
      </w:r>
    </w:p>
    <w:p>
      <w:pPr>
        <w:pStyle w:val="Compact"/>
        <w:numPr>
          <w:ilvl w:val="0"/>
          <w:numId w:val="1008"/>
        </w:numPr>
      </w:pPr>
      <w:r>
        <w:rPr>
          <w:b/>
          <w:bCs/>
        </w:rPr>
        <w:t xml:space="preserve">Adjusted continuing-operations EPS:</w:t>
      </w:r>
      <w:r>
        <w:t xml:space="preserve"> </w:t>
      </w:r>
      <w:r>
        <w:t xml:space="preserve">double-digit constant-currency growth.</w:t>
      </w:r>
    </w:p>
    <w:p>
      <w:pPr>
        <w:pStyle w:val="Compact"/>
        <w:numPr>
          <w:ilvl w:val="0"/>
          <w:numId w:val="1008"/>
        </w:numPr>
      </w:pPr>
      <w:r>
        <w:rPr>
          <w:b/>
          <w:bCs/>
        </w:rPr>
        <w:t xml:space="preserve">Adjusted EPS attributable to KMB:</w:t>
      </w:r>
      <w:r>
        <w:t xml:space="preserve"> </w:t>
      </w:r>
      <w:r>
        <w:t xml:space="preserve">approximately flat in constant currency, reflecting the expected reduction in discontinued-operations income following the IFP transaction.</w:t>
      </w:r>
    </w:p>
    <w:p>
      <w:pPr>
        <w:pStyle w:val="Compact"/>
        <w:numPr>
          <w:ilvl w:val="0"/>
          <w:numId w:val="1008"/>
        </w:numPr>
      </w:pPr>
      <w:r>
        <w:t xml:space="preserve">Approximately 170 basis points of favorable currency translation to EPS.</w:t>
      </w:r>
    </w:p>
    <w:p>
      <w:pPr>
        <w:pStyle w:val="Compact"/>
        <w:numPr>
          <w:ilvl w:val="0"/>
          <w:numId w:val="1008"/>
        </w:numPr>
      </w:pPr>
      <w:r>
        <w:t xml:space="preserve">Roughly 70–80 basis points of full-year expansion in both adjusted gross and operating margins, according to Q1 management commentary.</w:t>
      </w:r>
    </w:p>
    <w:p>
      <w:pPr>
        <w:pStyle w:val="FirstParagraph"/>
      </w:pPr>
      <w:r>
        <w:t xml:space="preserve">A simple reaffirmation would be positive, but investors should examine the assumptions underneath it. The most useful disclosure would be a bridge showing:</w:t>
      </w:r>
    </w:p>
    <w:p>
      <w:pPr>
        <w:pStyle w:val="Compact"/>
        <w:numPr>
          <w:ilvl w:val="0"/>
          <w:numId w:val="1009"/>
        </w:numPr>
      </w:pPr>
      <w:r>
        <w:t xml:space="preserve">Updated gross commodity inflation.</w:t>
      </w:r>
    </w:p>
    <w:p>
      <w:pPr>
        <w:pStyle w:val="Compact"/>
        <w:numPr>
          <w:ilvl w:val="0"/>
          <w:numId w:val="1009"/>
        </w:numPr>
      </w:pPr>
      <w:r>
        <w:t xml:space="preserve">Realized versus planned mitigation.</w:t>
      </w:r>
    </w:p>
    <w:p>
      <w:pPr>
        <w:pStyle w:val="Compact"/>
        <w:numPr>
          <w:ilvl w:val="0"/>
          <w:numId w:val="1009"/>
        </w:numPr>
      </w:pPr>
      <w:r>
        <w:t xml:space="preserve">Incremental pricing or revenue-management actions.</w:t>
      </w:r>
    </w:p>
    <w:p>
      <w:pPr>
        <w:pStyle w:val="Compact"/>
        <w:numPr>
          <w:ilvl w:val="0"/>
          <w:numId w:val="1009"/>
        </w:numPr>
      </w:pPr>
      <w:r>
        <w:t xml:space="preserve">Productivity beyond the original plan.</w:t>
      </w:r>
    </w:p>
    <w:p>
      <w:pPr>
        <w:pStyle w:val="Compact"/>
        <w:numPr>
          <w:ilvl w:val="0"/>
          <w:numId w:val="1009"/>
        </w:numPr>
      </w:pPr>
      <w:r>
        <w:t xml:space="preserve">Any changes to marketing or innovation investment.</w:t>
      </w:r>
    </w:p>
    <w:p>
      <w:pPr>
        <w:pStyle w:val="Compact"/>
        <w:numPr>
          <w:ilvl w:val="0"/>
          <w:numId w:val="1009"/>
        </w:numPr>
      </w:pPr>
      <w:r>
        <w:t xml:space="preserve">Remaining exposure if oil or resin costs stay elevated.</w:t>
      </w:r>
    </w:p>
    <w:p>
      <w:pPr>
        <w:pStyle w:val="FirstParagraph"/>
      </w:pPr>
      <w:r>
        <w:t xml:space="preserve">A guidance cut blamed primarily on commodities would challenge management’s claim that the business now has materially better tools for managing input-cost volatility.</w:t>
      </w:r>
    </w:p>
    <w:bookmarkEnd w:id="16"/>
    <w:bookmarkStart w:id="17" w:name="Xe3150a86c69c15a045b61a0492e94648f706d64"/>
    <w:p>
      <w:pPr>
        <w:pStyle w:val="Heading2"/>
      </w:pPr>
      <w:r>
        <w:t xml:space="preserve">4. North America needs better operating leverage</w:t>
      </w:r>
    </w:p>
    <w:p>
      <w:pPr>
        <w:pStyle w:val="FirstParagraph"/>
      </w:pPr>
      <w:r>
        <w:t xml:space="preserve">North America was the weak point in Q1:</w:t>
      </w:r>
    </w:p>
    <w:p>
      <w:pPr>
        <w:pStyle w:val="Compact"/>
        <w:numPr>
          <w:ilvl w:val="0"/>
          <w:numId w:val="1010"/>
        </w:numPr>
      </w:pPr>
      <w:r>
        <w:t xml:space="preserve">Organic sales increased 1.8%.</w:t>
      </w:r>
    </w:p>
    <w:p>
      <w:pPr>
        <w:pStyle w:val="Compact"/>
        <w:numPr>
          <w:ilvl w:val="0"/>
          <w:numId w:val="1010"/>
        </w:numPr>
      </w:pPr>
      <w:r>
        <w:t xml:space="preserve">Reported sales declined 0.6%, including the private-label diaper exit.</w:t>
      </w:r>
    </w:p>
    <w:p>
      <w:pPr>
        <w:pStyle w:val="Compact"/>
        <w:numPr>
          <w:ilvl w:val="0"/>
          <w:numId w:val="1010"/>
        </w:numPr>
      </w:pPr>
      <w:r>
        <w:t xml:space="preserve">Segment operating profit fell 8.1%.</w:t>
      </w:r>
    </w:p>
    <w:p>
      <w:pPr>
        <w:pStyle w:val="Compact"/>
        <w:numPr>
          <w:ilvl w:val="0"/>
          <w:numId w:val="1010"/>
        </w:numPr>
      </w:pPr>
      <w:r>
        <w:t xml:space="preserve">The decline included a roughly 490-basis-point impact from business exits, along with supply-chain and advertising investment.</w:t>
      </w:r>
    </w:p>
    <w:p>
      <w:pPr>
        <w:pStyle w:val="FirstParagraph"/>
      </w:pPr>
      <w:r>
        <w:t xml:space="preserve">Q2 also faces the distribution-center disruption and a difficult 5% prior-year volume comparison.</w:t>
      </w:r>
    </w:p>
    <w:p>
      <w:pPr>
        <w:pStyle w:val="BodyText"/>
      </w:pPr>
      <w:r>
        <w:t xml:space="preserve">Investors should look beyond reported segment profit and ask whether the underlying business is beginning to convert volume and productivity into earnings. Important categories include:</w:t>
      </w:r>
    </w:p>
    <w:p>
      <w:pPr>
        <w:pStyle w:val="Compact"/>
        <w:numPr>
          <w:ilvl w:val="0"/>
          <w:numId w:val="1011"/>
        </w:numPr>
      </w:pPr>
      <w:r>
        <w:t xml:space="preserve">Huggies and the broader Baby &amp; Child Care portfolio.</w:t>
      </w:r>
    </w:p>
    <w:p>
      <w:pPr>
        <w:pStyle w:val="Compact"/>
        <w:numPr>
          <w:ilvl w:val="0"/>
          <w:numId w:val="1011"/>
        </w:numPr>
      </w:pPr>
      <w:r>
        <w:t xml:space="preserve">Cottonelle, Scott and Kleenex.</w:t>
      </w:r>
    </w:p>
    <w:p>
      <w:pPr>
        <w:pStyle w:val="Compact"/>
        <w:numPr>
          <w:ilvl w:val="0"/>
          <w:numId w:val="1011"/>
        </w:numPr>
      </w:pPr>
      <w:r>
        <w:t xml:space="preserve">Adult care products such as Depend and Poise.</w:t>
      </w:r>
    </w:p>
    <w:p>
      <w:pPr>
        <w:pStyle w:val="Compact"/>
        <w:numPr>
          <w:ilvl w:val="0"/>
          <w:numId w:val="1011"/>
        </w:numPr>
      </w:pPr>
      <w:r>
        <w:t xml:space="preserve">Professional products that remain in continuing operations.</w:t>
      </w:r>
    </w:p>
    <w:p>
      <w:pPr>
        <w:pStyle w:val="FirstParagraph"/>
      </w:pPr>
      <w:r>
        <w:t xml:space="preserve">A soft North American quarter may be understandable. A weak outlook for the second half would be more problematic because management previously expected organic growth to accelerate after Q2’s transitory issues.</w:t>
      </w:r>
    </w:p>
    <w:bookmarkEnd w:id="17"/>
    <w:bookmarkStart w:id="18" w:name="Xcabf96e9c1ddac092e855e6235acd80e2a434c0"/>
    <w:p>
      <w:pPr>
        <w:pStyle w:val="Heading2"/>
      </w:pPr>
      <w:r>
        <w:t xml:space="preserve">5. International Personal Care is carrying considerable weight</w:t>
      </w:r>
    </w:p>
    <w:p>
      <w:pPr>
        <w:pStyle w:val="FirstParagraph"/>
      </w:pPr>
      <w:r>
        <w:t xml:space="preserve">International Personal Care was the standout in Q1:</w:t>
      </w:r>
    </w:p>
    <w:p>
      <w:pPr>
        <w:pStyle w:val="Compact"/>
        <w:numPr>
          <w:ilvl w:val="0"/>
          <w:numId w:val="1012"/>
        </w:numPr>
      </w:pPr>
      <w:r>
        <w:t xml:space="preserve">Organic growth of 4.0%.</w:t>
      </w:r>
    </w:p>
    <w:p>
      <w:pPr>
        <w:pStyle w:val="Compact"/>
        <w:numPr>
          <w:ilvl w:val="0"/>
          <w:numId w:val="1012"/>
        </w:numPr>
      </w:pPr>
      <w:r>
        <w:t xml:space="preserve">Volume growth of 4.1%.</w:t>
      </w:r>
    </w:p>
    <w:p>
      <w:pPr>
        <w:pStyle w:val="Compact"/>
        <w:numPr>
          <w:ilvl w:val="0"/>
          <w:numId w:val="1012"/>
        </w:numPr>
      </w:pPr>
      <w:r>
        <w:t xml:space="preserve">Favorable mix of 1.4%.</w:t>
      </w:r>
    </w:p>
    <w:p>
      <w:pPr>
        <w:pStyle w:val="Compact"/>
        <w:numPr>
          <w:ilvl w:val="0"/>
          <w:numId w:val="1012"/>
        </w:numPr>
      </w:pPr>
      <w:r>
        <w:t xml:space="preserve">Segment operating-profit growth of 21.9%.</w:t>
      </w:r>
    </w:p>
    <w:p>
      <w:pPr>
        <w:pStyle w:val="FirstParagraph"/>
      </w:pPr>
      <w:r>
        <w:t xml:space="preserve">Strength was broad, including China, Indonesia, South Korea and Brazil. Management also cited favorable momentum in markets such as Vietnam, India and Australia.</w:t>
      </w:r>
    </w:p>
    <w:p>
      <w:pPr>
        <w:pStyle w:val="BodyText"/>
      </w:pPr>
      <w:r>
        <w:t xml:space="preserve">The key question is whether IPC can sustain strong volume and mix while reducing its dependence on price investment. Q1 pricing declined 1.5%, and pricing net of inflation remained unfavorable despite excellent productivity.</w:t>
      </w:r>
    </w:p>
    <w:p>
      <w:pPr>
        <w:pStyle w:val="BodyText"/>
      </w:pPr>
      <w:r>
        <w:t xml:space="preserve">A healthy Q2 would include:</w:t>
      </w:r>
    </w:p>
    <w:p>
      <w:pPr>
        <w:pStyle w:val="Compact"/>
        <w:numPr>
          <w:ilvl w:val="0"/>
          <w:numId w:val="1013"/>
        </w:numPr>
      </w:pPr>
      <w:r>
        <w:t xml:space="preserve">Continued mid-single-digit or better organic growth.</w:t>
      </w:r>
    </w:p>
    <w:p>
      <w:pPr>
        <w:pStyle w:val="Compact"/>
        <w:numPr>
          <w:ilvl w:val="0"/>
          <w:numId w:val="1013"/>
        </w:numPr>
      </w:pPr>
      <w:r>
        <w:t xml:space="preserve">Positive mix.</w:t>
      </w:r>
    </w:p>
    <w:p>
      <w:pPr>
        <w:pStyle w:val="Compact"/>
        <w:numPr>
          <w:ilvl w:val="0"/>
          <w:numId w:val="1013"/>
        </w:numPr>
      </w:pPr>
      <w:r>
        <w:t xml:space="preserve">Broad-based geographic performance.</w:t>
      </w:r>
    </w:p>
    <w:p>
      <w:pPr>
        <w:pStyle w:val="Compact"/>
        <w:numPr>
          <w:ilvl w:val="0"/>
          <w:numId w:val="1013"/>
        </w:numPr>
      </w:pPr>
      <w:r>
        <w:t xml:space="preserve">Margin growth not driven solely by currency.</w:t>
      </w:r>
    </w:p>
    <w:p>
      <w:pPr>
        <w:pStyle w:val="Compact"/>
        <w:numPr>
          <w:ilvl w:val="0"/>
          <w:numId w:val="1013"/>
        </w:numPr>
      </w:pPr>
      <w:r>
        <w:t xml:space="preserve">No major supply-chain disruption from geopolitical conditions.</w:t>
      </w:r>
    </w:p>
    <w:bookmarkEnd w:id="18"/>
    <w:bookmarkStart w:id="19" w:name="X2e63027c4ff02e2f085f4d7af4e42f64209e857"/>
    <w:p>
      <w:pPr>
        <w:pStyle w:val="Heading2"/>
      </w:pPr>
      <w:r>
        <w:t xml:space="preserve">6. Kenvue may matter more to valuation than the quarter itself</w:t>
      </w:r>
    </w:p>
    <w:p>
      <w:pPr>
        <w:pStyle w:val="FirstParagraph"/>
      </w:pPr>
      <w:r>
        <w:t xml:space="preserve">Kimberly-Clark agreed in November 2025 to acquire Kenvue using cash and stock. Under the announced terms, Kenvue shareholders are to receive:</w:t>
      </w:r>
    </w:p>
    <w:p>
      <w:pPr>
        <w:pStyle w:val="Compact"/>
        <w:numPr>
          <w:ilvl w:val="0"/>
          <w:numId w:val="1014"/>
        </w:numPr>
      </w:pPr>
      <w:r>
        <w:rPr>
          <w:b/>
          <w:bCs/>
        </w:rPr>
        <w:t xml:space="preserve">0.14625 KMB shares</w:t>
      </w:r>
      <w:r>
        <w:t xml:space="preserve">, plus</w:t>
      </w:r>
    </w:p>
    <w:p>
      <w:pPr>
        <w:pStyle w:val="Compact"/>
        <w:numPr>
          <w:ilvl w:val="0"/>
          <w:numId w:val="1014"/>
        </w:numPr>
      </w:pPr>
      <w:r>
        <w:rPr>
          <w:b/>
          <w:bCs/>
        </w:rPr>
        <w:t xml:space="preserve">$3.50 in cash per Kenvue share</w:t>
      </w:r>
      <w:r>
        <w:t xml:space="preserve">.</w:t>
      </w:r>
    </w:p>
    <w:p>
      <w:pPr>
        <w:pStyle w:val="FirstParagraph"/>
      </w:pPr>
      <w:r>
        <w:t xml:space="preserve">KMB expected to issue approximately</w:t>
      </w:r>
      <w:r>
        <w:t xml:space="preserve"> </w:t>
      </w:r>
      <w:r>
        <w:rPr>
          <w:b/>
          <w:bCs/>
        </w:rPr>
        <w:t xml:space="preserve">280 million new shares</w:t>
      </w:r>
      <w:r>
        <w:t xml:space="preserve"> </w:t>
      </w:r>
      <w:r>
        <w:t xml:space="preserve">and pay roughly</w:t>
      </w:r>
      <w:r>
        <w:t xml:space="preserve"> </w:t>
      </w:r>
      <w:r>
        <w:rPr>
          <w:b/>
          <w:bCs/>
        </w:rPr>
        <w:t xml:space="preserve">$6.7 billion in cash</w:t>
      </w:r>
      <w:r>
        <w:t xml:space="preserve">. For perspective, KMB had approximately 332 million shares outstanding at the end of Q1, so the transaction represents a major change in the company’s scale, capital structure and earnings profile.</w:t>
      </w:r>
    </w:p>
    <w:p>
      <w:pPr>
        <w:pStyle w:val="BodyText"/>
      </w:pPr>
      <w:r>
        <w:t xml:space="preserve">Shareholders approved the required stock issuance in January. Investors now need updates on:</w:t>
      </w:r>
    </w:p>
    <w:p>
      <w:pPr>
        <w:pStyle w:val="Compact"/>
        <w:numPr>
          <w:ilvl w:val="0"/>
          <w:numId w:val="1015"/>
        </w:numPr>
      </w:pPr>
      <w:r>
        <w:t xml:space="preserve">Remaining regulatory approvals and expected closing timing.</w:t>
      </w:r>
    </w:p>
    <w:p>
      <w:pPr>
        <w:pStyle w:val="Compact"/>
        <w:numPr>
          <w:ilvl w:val="0"/>
          <w:numId w:val="1015"/>
        </w:numPr>
      </w:pPr>
      <w:r>
        <w:t xml:space="preserve">Whether financing terms remain consistent with initial assumptions.</w:t>
      </w:r>
    </w:p>
    <w:p>
      <w:pPr>
        <w:pStyle w:val="Compact"/>
        <w:numPr>
          <w:ilvl w:val="0"/>
          <w:numId w:val="1015"/>
        </w:numPr>
      </w:pPr>
      <w:r>
        <w:t xml:space="preserve">The planned permanent financing versus bridge facilities.</w:t>
      </w:r>
    </w:p>
    <w:p>
      <w:pPr>
        <w:pStyle w:val="Compact"/>
        <w:numPr>
          <w:ilvl w:val="0"/>
          <w:numId w:val="1015"/>
        </w:numPr>
      </w:pPr>
      <w:r>
        <w:t xml:space="preserve">Integration readiness and retention of key personnel.</w:t>
      </w:r>
    </w:p>
    <w:p>
      <w:pPr>
        <w:pStyle w:val="Compact"/>
        <w:numPr>
          <w:ilvl w:val="0"/>
          <w:numId w:val="1015"/>
        </w:numPr>
      </w:pPr>
      <w:r>
        <w:t xml:space="preserve">Confidence in cost and revenue synergies.</w:t>
      </w:r>
    </w:p>
    <w:p>
      <w:pPr>
        <w:pStyle w:val="Compact"/>
        <w:numPr>
          <w:ilvl w:val="0"/>
          <w:numId w:val="1015"/>
        </w:numPr>
      </w:pPr>
      <w:r>
        <w:t xml:space="preserve">The plan to repair Kenvue’s weaker North American skin-care and oral-care operations and parts of China.</w:t>
      </w:r>
    </w:p>
    <w:p>
      <w:pPr>
        <w:pStyle w:val="Compact"/>
        <w:numPr>
          <w:ilvl w:val="0"/>
          <w:numId w:val="1015"/>
        </w:numPr>
      </w:pPr>
      <w:r>
        <w:t xml:space="preserve">Whether commodity pressure at legacy KMB affects integration spending or leverage targets.</w:t>
      </w:r>
    </w:p>
    <w:p>
      <w:pPr>
        <w:pStyle w:val="FirstParagraph"/>
      </w:pPr>
      <w:r>
        <w:t xml:space="preserve">Management said more than 40 integration teams were active as of Q1 and characterized many Kenvue problems as executional rather than structural. The market will want concrete milestones supporting that conclusion.</w:t>
      </w:r>
    </w:p>
    <w:bookmarkEnd w:id="19"/>
    <w:bookmarkStart w:id="20" w:name="Xcb05f2cff35c10dedd50d4d6c66a295bb350154"/>
    <w:p>
      <w:pPr>
        <w:pStyle w:val="Heading2"/>
      </w:pPr>
      <w:r>
        <w:t xml:space="preserve">7. Suzano joint venture and cash generation</w:t>
      </w:r>
    </w:p>
    <w:p>
      <w:pPr>
        <w:pStyle w:val="FirstParagraph"/>
      </w:pPr>
      <w:r>
        <w:t xml:space="preserve">KMB’s former International Family Care and Professional business is classified as discontinued operations pending formation of a joint venture with Suzano. Suzano is expected to acquire 51% for approximately</w:t>
      </w:r>
      <w:r>
        <w:t xml:space="preserve"> </w:t>
      </w:r>
      <w:r>
        <w:rPr>
          <w:b/>
          <w:bCs/>
        </w:rPr>
        <w:t xml:space="preserve">$1.7 billion</w:t>
      </w:r>
      <w:r>
        <w:t xml:space="preserve">, while KMB retains 49%.</w:t>
      </w:r>
    </w:p>
    <w:p>
      <w:pPr>
        <w:pStyle w:val="BodyText"/>
      </w:pPr>
      <w:r>
        <w:t xml:space="preserve">The transaction had been expected to close around mid-2026, with proceeds helping fund the Kenvue acquisition. Because that timing is now immediate, investors should expect a definitive update.</w:t>
      </w:r>
    </w:p>
    <w:p>
      <w:pPr>
        <w:pStyle w:val="BodyText"/>
      </w:pPr>
      <w:r>
        <w:t xml:space="preserve">A delay could have several consequences:</w:t>
      </w:r>
    </w:p>
    <w:p>
      <w:pPr>
        <w:pStyle w:val="Compact"/>
        <w:numPr>
          <w:ilvl w:val="0"/>
          <w:numId w:val="1016"/>
        </w:numPr>
      </w:pPr>
      <w:r>
        <w:t xml:space="preserve">Greater reliance on temporary acquisition financing.</w:t>
      </w:r>
    </w:p>
    <w:p>
      <w:pPr>
        <w:pStyle w:val="Compact"/>
        <w:numPr>
          <w:ilvl w:val="0"/>
          <w:numId w:val="1016"/>
        </w:numPr>
      </w:pPr>
      <w:r>
        <w:t xml:space="preserve">Higher interest expense.</w:t>
      </w:r>
    </w:p>
    <w:p>
      <w:pPr>
        <w:pStyle w:val="Compact"/>
        <w:numPr>
          <w:ilvl w:val="0"/>
          <w:numId w:val="1016"/>
        </w:numPr>
      </w:pPr>
      <w:r>
        <w:t xml:space="preserve">Continued separation costs.</w:t>
      </w:r>
    </w:p>
    <w:p>
      <w:pPr>
        <w:pStyle w:val="Compact"/>
        <w:numPr>
          <w:ilvl w:val="0"/>
          <w:numId w:val="1016"/>
        </w:numPr>
      </w:pPr>
      <w:r>
        <w:t xml:space="preserve">More uncertainty around reported versus adjusted EPS.</w:t>
      </w:r>
    </w:p>
    <w:p>
      <w:pPr>
        <w:pStyle w:val="Compact"/>
        <w:numPr>
          <w:ilvl w:val="0"/>
          <w:numId w:val="1016"/>
        </w:numPr>
      </w:pPr>
      <w:r>
        <w:t xml:space="preserve">Delayed simplification of KMB’s operating structure.</w:t>
      </w:r>
    </w:p>
    <w:p>
      <w:pPr>
        <w:pStyle w:val="FirstParagraph"/>
      </w:pPr>
      <w:r>
        <w:t xml:space="preserve">Cash generation also deserves attention. Q1 operating cash flow was $745 million, but capital expenditures more than doubled to</w:t>
      </w:r>
      <w:r>
        <w:t xml:space="preserve"> </w:t>
      </w:r>
      <m:oMath>
        <m:r>
          <m:t>424</m:t>
        </m:r>
        <m:r>
          <m:t>m</m:t>
        </m:r>
        <m:r>
          <m:t>i</m:t>
        </m:r>
        <m:r>
          <m:t>l</m:t>
        </m:r>
        <m:r>
          <m:t>l</m:t>
        </m:r>
        <m:r>
          <m:t>i</m:t>
        </m:r>
        <m:r>
          <m:t>o</m:t>
        </m:r>
        <m:r>
          <m:t>n</m:t>
        </m:r>
        <m:r>
          <m:rPr>
            <m:sty m:val="p"/>
          </m:rPr>
          <m:t>.</m:t>
        </m:r>
        <m:r>
          <m:t>F</m:t>
        </m:r>
        <m:r>
          <m:t>u</m:t>
        </m:r>
        <m:r>
          <m:t>l</m:t>
        </m:r>
        <m:r>
          <m:t>l</m:t>
        </m:r>
        <m:r>
          <m:rPr>
            <m:sty m:val="p"/>
          </m:rPr>
          <m:t>−</m:t>
        </m:r>
        <m:r>
          <m:t>y</m:t>
        </m:r>
        <m:r>
          <m:t>e</m:t>
        </m:r>
        <m:r>
          <m:t>a</m:t>
        </m:r>
        <m:r>
          <m:t>r</m:t>
        </m:r>
        <m:r>
          <m:t>c</m:t>
        </m:r>
        <m:r>
          <m:t>a</m:t>
        </m:r>
        <m:r>
          <m:t>p</m:t>
        </m:r>
        <m:r>
          <m:t>i</m:t>
        </m:r>
        <m:r>
          <m:t>t</m:t>
        </m:r>
        <m:r>
          <m:t>a</m:t>
        </m:r>
        <m:r>
          <m:t>l</m:t>
        </m:r>
        <m:r>
          <m:t>s</m:t>
        </m:r>
        <m:r>
          <m:t>p</m:t>
        </m:r>
        <m:r>
          <m:t>e</m:t>
        </m:r>
        <m:r>
          <m:t>n</m:t>
        </m:r>
        <m:r>
          <m:t>d</m:t>
        </m:r>
        <m:r>
          <m:t>i</m:t>
        </m:r>
        <m:r>
          <m:t>n</m:t>
        </m:r>
        <m:r>
          <m:t>g</m:t>
        </m:r>
        <m:r>
          <m:t>w</m:t>
        </m:r>
        <m:r>
          <m:t>a</m:t>
        </m:r>
        <m:r>
          <m:t>s</m:t>
        </m:r>
        <m:r>
          <m:t>e</m:t>
        </m:r>
        <m:r>
          <m:t>x</m:t>
        </m:r>
        <m:r>
          <m:t>p</m:t>
        </m:r>
        <m:r>
          <m:t>e</m:t>
        </m:r>
        <m:r>
          <m:t>c</m:t>
        </m:r>
        <m:r>
          <m:t>t</m:t>
        </m:r>
        <m:r>
          <m:t>e</m:t>
        </m:r>
        <m:r>
          <m:t>d</m:t>
        </m:r>
        <m:r>
          <m:t>t</m:t>
        </m:r>
        <m:r>
          <m:t>o</m:t>
        </m:r>
        <m:r>
          <m:t>b</m:t>
        </m:r>
        <m:r>
          <m:t>e</m:t>
        </m:r>
        <m:r>
          <m:t>a</m:t>
        </m:r>
        <m:r>
          <m:t>p</m:t>
        </m:r>
        <m:r>
          <m:t>p</m:t>
        </m:r>
        <m:r>
          <m:t>r</m:t>
        </m:r>
        <m:r>
          <m:t>o</m:t>
        </m:r>
        <m:r>
          <m:t>x</m:t>
        </m:r>
        <m:r>
          <m:t>i</m:t>
        </m:r>
        <m:r>
          <m:t>m</m:t>
        </m:r>
        <m:r>
          <m:t>a</m:t>
        </m:r>
        <m:r>
          <m:t>t</m:t>
        </m:r>
        <m:r>
          <m:t>e</m:t>
        </m:r>
        <m:r>
          <m:t>l</m:t>
        </m:r>
        <m:r>
          <m:t>y</m:t>
        </m:r>
        <m:r>
          <m:rPr>
            <m:sty m:val="p"/>
          </m:rPr>
          <m:t>*</m:t>
        </m:r>
        <m:r>
          <m:rPr>
            <m:sty m:val="p"/>
          </m:rPr>
          <m:t>*</m:t>
        </m:r>
      </m:oMath>
      <w:r>
        <w:t xml:space="preserve">1.3 billion**, reflecting substantial transformation and supply-chain investment.</w:t>
      </w:r>
    </w:p>
    <w:bookmarkEnd w:id="20"/>
    <w:bookmarkStart w:id="21" w:name="earnings-quality-and-accounting-items"/>
    <w:p>
      <w:pPr>
        <w:pStyle w:val="Heading2"/>
      </w:pPr>
      <w:r>
        <w:t xml:space="preserve">Earnings quality and accounting items</w:t>
      </w:r>
    </w:p>
    <w:p>
      <w:pPr>
        <w:pStyle w:val="FirstParagraph"/>
      </w:pPr>
      <w:r>
        <w:t xml:space="preserve">Headline EPS may be unusually noisy because of:</w:t>
      </w:r>
    </w:p>
    <w:p>
      <w:pPr>
        <w:pStyle w:val="Compact"/>
        <w:numPr>
          <w:ilvl w:val="0"/>
          <w:numId w:val="1017"/>
        </w:numPr>
      </w:pPr>
      <w:r>
        <w:t xml:space="preserve">Powering Care transformation charges.</w:t>
      </w:r>
    </w:p>
    <w:p>
      <w:pPr>
        <w:pStyle w:val="Compact"/>
        <w:numPr>
          <w:ilvl w:val="0"/>
          <w:numId w:val="1017"/>
        </w:numPr>
      </w:pPr>
      <w:r>
        <w:t xml:space="preserve">Kenvue acquisition expenses.</w:t>
      </w:r>
    </w:p>
    <w:p>
      <w:pPr>
        <w:pStyle w:val="Compact"/>
        <w:numPr>
          <w:ilvl w:val="0"/>
          <w:numId w:val="1017"/>
        </w:numPr>
      </w:pPr>
      <w:r>
        <w:t xml:space="preserve">IFP separation costs and discontinued-operations income.</w:t>
      </w:r>
    </w:p>
    <w:p>
      <w:pPr>
        <w:pStyle w:val="Compact"/>
        <w:numPr>
          <w:ilvl w:val="0"/>
          <w:numId w:val="1017"/>
        </w:numPr>
      </w:pPr>
      <w:r>
        <w:t xml:space="preserve">Changes in the timing of the Suzano transaction.</w:t>
      </w:r>
    </w:p>
    <w:p>
      <w:pPr>
        <w:pStyle w:val="Compact"/>
        <w:numPr>
          <w:ilvl w:val="0"/>
          <w:numId w:val="1017"/>
        </w:numPr>
      </w:pPr>
      <w:r>
        <w:t xml:space="preserve">Tax-rate volatility.</w:t>
      </w:r>
    </w:p>
    <w:p>
      <w:pPr>
        <w:pStyle w:val="Compact"/>
        <w:numPr>
          <w:ilvl w:val="0"/>
          <w:numId w:val="1017"/>
        </w:numPr>
      </w:pPr>
      <w:r>
        <w:t xml:space="preserve">Currency translation.</w:t>
      </w:r>
    </w:p>
    <w:p>
      <w:pPr>
        <w:pStyle w:val="Compact"/>
        <w:numPr>
          <w:ilvl w:val="0"/>
          <w:numId w:val="1017"/>
        </w:numPr>
      </w:pPr>
      <w:r>
        <w:t xml:space="preserve">Potential insurance or other non-operating items.</w:t>
      </w:r>
    </w:p>
    <w:p>
      <w:pPr>
        <w:pStyle w:val="FirstParagraph"/>
      </w:pPr>
      <w:r>
        <w:t xml:space="preserve">Q1 adjusted continuing-operations EPS declined 1.2% despite 3.7% adjusted operating-profit growth, largely because the adjusted tax rate rose to 26.2% from 20.7%. Full-year guidance assumes an adjusted tax rate of approximately 23%, so investors should watch for normalization.</w:t>
      </w:r>
    </w:p>
    <w:p>
      <w:pPr>
        <w:pStyle w:val="BodyText"/>
      </w:pPr>
      <w:r>
        <w:t xml:space="preserve">For assessing the underlying quarter,</w:t>
      </w:r>
      <w:r>
        <w:t xml:space="preserve"> </w:t>
      </w:r>
      <w:r>
        <w:rPr>
          <w:b/>
          <w:bCs/>
        </w:rPr>
        <w:t xml:space="preserve">organic sales, adjusted gross margin, adjusted operating profit and continuing-operations EPS</w:t>
      </w:r>
      <w:r>
        <w:t xml:space="preserve"> </w:t>
      </w:r>
      <w:r>
        <w:t xml:space="preserve">are more informative than GAAP EPS alone.</w:t>
      </w:r>
    </w:p>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18"/>
        </w:numPr>
      </w:pPr>
      <w:r>
        <w:t xml:space="preserve">Organic sales growth around 2% or better, with positive volume and mix.</w:t>
      </w:r>
    </w:p>
    <w:p>
      <w:pPr>
        <w:pStyle w:val="Compact"/>
        <w:numPr>
          <w:ilvl w:val="0"/>
          <w:numId w:val="1018"/>
        </w:numPr>
      </w:pPr>
      <w:r>
        <w:t xml:space="preserve">North America absorbs the fire-related disruption without a deterioration in consumption or share.</w:t>
      </w:r>
    </w:p>
    <w:p>
      <w:pPr>
        <w:pStyle w:val="Compact"/>
        <w:numPr>
          <w:ilvl w:val="0"/>
          <w:numId w:val="1018"/>
        </w:numPr>
      </w:pPr>
      <w:r>
        <w:t xml:space="preserve">IPC sustains strong growth and margin expansion.</w:t>
      </w:r>
    </w:p>
    <w:p>
      <w:pPr>
        <w:pStyle w:val="Compact"/>
        <w:numPr>
          <w:ilvl w:val="0"/>
          <w:numId w:val="1018"/>
        </w:numPr>
      </w:pPr>
      <w:r>
        <w:t xml:space="preserve">Adjusted gross margin expands year over year despite the expected $50 million headwind.</w:t>
      </w:r>
    </w:p>
    <w:p>
      <w:pPr>
        <w:pStyle w:val="Compact"/>
        <w:numPr>
          <w:ilvl w:val="0"/>
          <w:numId w:val="1018"/>
        </w:numPr>
      </w:pPr>
      <w:r>
        <w:t xml:space="preserve">Full-year guidance is reaffirmed with a detailed, credible inflation-mitigation plan.</w:t>
      </w:r>
    </w:p>
    <w:p>
      <w:pPr>
        <w:pStyle w:val="Compact"/>
        <w:numPr>
          <w:ilvl w:val="0"/>
          <w:numId w:val="1018"/>
        </w:numPr>
      </w:pPr>
      <w:r>
        <w:t xml:space="preserve">Suzano and Kenvue transactions remain on schedule.</w:t>
      </w:r>
    </w:p>
    <w:p>
      <w:pPr>
        <w:pStyle w:val="Compact"/>
        <w:numPr>
          <w:ilvl w:val="0"/>
          <w:numId w:val="1018"/>
        </w:numPr>
      </w:pPr>
      <w:r>
        <w:t xml:space="preserve">Management preserves innovation and advertising investment rather than cutting brand support to meet EPS.</w:t>
      </w:r>
    </w:p>
    <w:bookmarkEnd w:id="22"/>
    <w:bookmarkStart w:id="23" w:name="base-case"/>
    <w:p>
      <w:pPr>
        <w:pStyle w:val="Heading3"/>
      </w:pPr>
      <w:r>
        <w:t xml:space="preserve">Base case</w:t>
      </w:r>
    </w:p>
    <w:p>
      <w:pPr>
        <w:pStyle w:val="Compact"/>
        <w:numPr>
          <w:ilvl w:val="0"/>
          <w:numId w:val="1019"/>
        </w:numPr>
      </w:pPr>
      <w:r>
        <w:t xml:space="preserve">Organic growth of roughly 1–2%.</w:t>
      </w:r>
    </w:p>
    <w:p>
      <w:pPr>
        <w:pStyle w:val="Compact"/>
        <w:numPr>
          <w:ilvl w:val="0"/>
          <w:numId w:val="1019"/>
        </w:numPr>
      </w:pPr>
      <w:r>
        <w:t xml:space="preserve">Positive but slower volume/mix as KMB laps a strong prior-year quarter.</w:t>
      </w:r>
    </w:p>
    <w:p>
      <w:pPr>
        <w:pStyle w:val="Compact"/>
        <w:numPr>
          <w:ilvl w:val="0"/>
          <w:numId w:val="1019"/>
        </w:numPr>
      </w:pPr>
      <w:r>
        <w:t xml:space="preserve">Productivity largely offsets operating disruption, but commodity inflation limits margin upside.</w:t>
      </w:r>
    </w:p>
    <w:p>
      <w:pPr>
        <w:pStyle w:val="Compact"/>
        <w:numPr>
          <w:ilvl w:val="0"/>
          <w:numId w:val="1019"/>
        </w:numPr>
      </w:pPr>
      <w:r>
        <w:t xml:space="preserve">Guidance is maintained, with management leaving the range of second-half outcomes relatively wide.</w:t>
      </w:r>
    </w:p>
    <w:p>
      <w:pPr>
        <w:pStyle w:val="Compact"/>
        <w:numPr>
          <w:ilvl w:val="0"/>
          <w:numId w:val="1019"/>
        </w:numPr>
      </w:pPr>
      <w:r>
        <w:t xml:space="preserve">Transaction updates are incremental rather than thesis-changing.</w:t>
      </w:r>
    </w:p>
    <w:bookmarkEnd w:id="23"/>
    <w:bookmarkStart w:id="24" w:name="bear-case"/>
    <w:p>
      <w:pPr>
        <w:pStyle w:val="Heading3"/>
      </w:pPr>
      <w:r>
        <w:t xml:space="preserve">Bear case</w:t>
      </w:r>
    </w:p>
    <w:p>
      <w:pPr>
        <w:pStyle w:val="Compact"/>
        <w:numPr>
          <w:ilvl w:val="0"/>
          <w:numId w:val="1020"/>
        </w:numPr>
      </w:pPr>
      <w:r>
        <w:t xml:space="preserve">Weak North American shipments are accompanied by weaker consumption or share.</w:t>
      </w:r>
    </w:p>
    <w:p>
      <w:pPr>
        <w:pStyle w:val="Compact"/>
        <w:numPr>
          <w:ilvl w:val="0"/>
          <w:numId w:val="1020"/>
        </w:numPr>
      </w:pPr>
      <w:r>
        <w:t xml:space="preserve">Promotional spending rises without adequate repeat purchases.</w:t>
      </w:r>
    </w:p>
    <w:p>
      <w:pPr>
        <w:pStyle w:val="Compact"/>
        <w:numPr>
          <w:ilvl w:val="0"/>
          <w:numId w:val="1020"/>
        </w:numPr>
      </w:pPr>
      <w:r>
        <w:t xml:space="preserve">Commodity inflation exceeds prior estimates or mitigation takes longer than expected.</w:t>
      </w:r>
    </w:p>
    <w:p>
      <w:pPr>
        <w:pStyle w:val="Compact"/>
        <w:numPr>
          <w:ilvl w:val="0"/>
          <w:numId w:val="1020"/>
        </w:numPr>
      </w:pPr>
      <w:r>
        <w:t xml:space="preserve">Full-year operating-profit or EPS guidance is reduced.</w:t>
      </w:r>
    </w:p>
    <w:p>
      <w:pPr>
        <w:pStyle w:val="Compact"/>
        <w:numPr>
          <w:ilvl w:val="0"/>
          <w:numId w:val="1020"/>
        </w:numPr>
      </w:pPr>
      <w:r>
        <w:t xml:space="preserve">Management cuts marketing to protect near-term earnings.</w:t>
      </w:r>
    </w:p>
    <w:p>
      <w:pPr>
        <w:pStyle w:val="Compact"/>
        <w:numPr>
          <w:ilvl w:val="0"/>
          <w:numId w:val="1020"/>
        </w:numPr>
      </w:pPr>
      <w:r>
        <w:t xml:space="preserve">Suzano closing or Kenvue regulatory approval is delayed, increasing financing and execution risk.</w:t>
      </w:r>
    </w:p>
    <w:bookmarkEnd w:id="24"/>
    <w:bookmarkEnd w:id="25"/>
    <w:bookmarkStart w:id="26" w:name="questions-management-should-answer"/>
    <w:p>
      <w:pPr>
        <w:pStyle w:val="Heading2"/>
      </w:pPr>
      <w:r>
        <w:t xml:space="preserve">Questions management should answer</w:t>
      </w:r>
    </w:p>
    <w:p>
      <w:pPr>
        <w:pStyle w:val="Compact"/>
        <w:numPr>
          <w:ilvl w:val="0"/>
          <w:numId w:val="1021"/>
        </w:numPr>
      </w:pPr>
      <w:r>
        <w:t xml:space="preserve">What is the updated gross input-cost outlook for Q3, Q4 and full-year 2026?</w:t>
      </w:r>
    </w:p>
    <w:p>
      <w:pPr>
        <w:pStyle w:val="Compact"/>
        <w:numPr>
          <w:ilvl w:val="0"/>
          <w:numId w:val="1021"/>
        </w:numPr>
      </w:pPr>
      <w:r>
        <w:t xml:space="preserve">How much of that inflation is already contracted or hedged?</w:t>
      </w:r>
    </w:p>
    <w:p>
      <w:pPr>
        <w:pStyle w:val="Compact"/>
        <w:numPr>
          <w:ilvl w:val="0"/>
          <w:numId w:val="1021"/>
        </w:numPr>
      </w:pPr>
      <w:r>
        <w:t xml:space="preserve">What portion will be offset by productivity, pricing, supplier negotiations and other actions?</w:t>
      </w:r>
    </w:p>
    <w:p>
      <w:pPr>
        <w:pStyle w:val="Compact"/>
        <w:numPr>
          <w:ilvl w:val="0"/>
          <w:numId w:val="1021"/>
        </w:numPr>
      </w:pPr>
      <w:r>
        <w:t xml:space="preserve">Does the company still expect approximately 70–80 basis points of full-year margin expansion?</w:t>
      </w:r>
    </w:p>
    <w:p>
      <w:pPr>
        <w:pStyle w:val="Compact"/>
        <w:numPr>
          <w:ilvl w:val="0"/>
          <w:numId w:val="1021"/>
        </w:numPr>
      </w:pPr>
      <w:r>
        <w:t xml:space="preserve">How much did the California fire affect Q2 sales and profit, and is the disruption fully resolved?</w:t>
      </w:r>
    </w:p>
    <w:p>
      <w:pPr>
        <w:pStyle w:val="Compact"/>
        <w:numPr>
          <w:ilvl w:val="0"/>
          <w:numId w:val="1021"/>
        </w:numPr>
      </w:pPr>
      <w:r>
        <w:t xml:space="preserve">Is North American consumption still running ahead of shipments?</w:t>
      </w:r>
    </w:p>
    <w:p>
      <w:pPr>
        <w:pStyle w:val="Compact"/>
        <w:numPr>
          <w:ilvl w:val="0"/>
          <w:numId w:val="1021"/>
        </w:numPr>
      </w:pPr>
      <w:r>
        <w:t xml:space="preserve">Are promotions producing sustainable household penetration and repeat purchases?</w:t>
      </w:r>
    </w:p>
    <w:p>
      <w:pPr>
        <w:pStyle w:val="Compact"/>
        <w:numPr>
          <w:ilvl w:val="0"/>
          <w:numId w:val="1021"/>
        </w:numPr>
      </w:pPr>
      <w:r>
        <w:t xml:space="preserve">Does management still expect second-half organic growth to accelerate?</w:t>
      </w:r>
    </w:p>
    <w:p>
      <w:pPr>
        <w:pStyle w:val="Compact"/>
        <w:numPr>
          <w:ilvl w:val="0"/>
          <w:numId w:val="1021"/>
        </w:numPr>
      </w:pPr>
      <w:r>
        <w:t xml:space="preserve">When will the Suzano transaction close, and have expected proceeds changed?</w:t>
      </w:r>
    </w:p>
    <w:p>
      <w:pPr>
        <w:pStyle w:val="Compact"/>
        <w:numPr>
          <w:ilvl w:val="0"/>
          <w:numId w:val="1021"/>
        </w:numPr>
      </w:pPr>
      <w:r>
        <w:t xml:space="preserve">What regulatory and financing milestones remain for Kenvue?</w:t>
      </w:r>
    </w:p>
    <w:p>
      <w:pPr>
        <w:pStyle w:val="Compact"/>
        <w:numPr>
          <w:ilvl w:val="0"/>
          <w:numId w:val="1021"/>
        </w:numPr>
      </w:pPr>
      <w:r>
        <w:t xml:space="preserve">Will commodity pressure affect Kenvue synergy spending or leverage objectives?</w:t>
      </w:r>
    </w:p>
    <w:p>
      <w:pPr>
        <w:pStyle w:val="Compact"/>
        <w:numPr>
          <w:ilvl w:val="0"/>
          <w:numId w:val="1021"/>
        </w:numPr>
      </w:pPr>
      <w:r>
        <w:t xml:space="preserve">Is the full-year adjusted tax-rate assumption of approximately 23% unchanged?</w:t>
      </w:r>
    </w:p>
    <w:bookmarkEnd w:id="26"/>
    <w:bookmarkStart w:id="27" w:name="bottom-line"/>
    <w:p>
      <w:pPr>
        <w:pStyle w:val="Heading2"/>
      </w:pPr>
      <w:r>
        <w:t xml:space="preserve">Bottom line</w:t>
      </w:r>
    </w:p>
    <w:p>
      <w:pPr>
        <w:pStyle w:val="FirstParagraph"/>
      </w:pPr>
      <w:r>
        <w:t xml:space="preserve">The cleanest positive read-through would be</w:t>
      </w:r>
      <w:r>
        <w:t xml:space="preserve"> </w:t>
      </w:r>
      <w:r>
        <w:rPr>
          <w:b/>
          <w:bCs/>
        </w:rPr>
        <w:t xml:space="preserve">low-single-digit organic growth, continued positive volume/mix, year-over-year margin expansion and unchanged guidance backed by a quantified inflation plan</w:t>
      </w:r>
      <w:r>
        <w:t xml:space="preserve">.</w:t>
      </w:r>
    </w:p>
    <w:p>
      <w:pPr>
        <w:pStyle w:val="BodyText"/>
      </w:pPr>
      <w:r>
        <w:t xml:space="preserve">A small headline miss caused by the distribution-center fire or tax timing should be manageable. A deterioration in volume, an inability to offset petroleum-linked costs, or transaction delays would be much more consequential.</w:t>
      </w:r>
    </w:p>
    <w:p>
      <w:pPr>
        <w:pStyle w:val="BodyText"/>
      </w:pPr>
      <w:r>
        <w:t xml:space="preserve">KMB has established credible momentum through innovation and productivity, but Q2 is the first meaningful test of whether that operating model can withstand a new inflation shock while the company prepares for a transformational and financially significant acquisition.</w:t>
      </w:r>
    </w:p>
    <w:p>
      <w:r>
        <w:pict>
          <v:rect style="width:0;height:1.5pt" o:hralign="center" o:hrstd="t" o:hr="t"/>
        </w:pict>
      </w:r>
    </w:p>
    <w:p>
      <w:pPr>
        <w:pStyle w:val="FirstParagraph"/>
      </w:pPr>
      <w:r>
        <w:rPr>
          <w:i/>
          <w:iCs/>
        </w:rPr>
        <w:t xml:space="preserve">Primary research reviewed: Kimberly-Clark’s July 7, 2026 earnings-date announcement; Q1 2026 earnings release, conference-call transcript and Form 10-Q; Q2 2025 earnings release; January 29, 2026 merger-vote filing; and KMB historical share-price data through August 3, 2026.</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2026-08-04T00:26:21Z</dcterms:created>
  <dcterms:modified xsi:type="dcterms:W3CDTF">2026-08-04T00:26:21Z</dcterms:modified>
</cp:coreProperties>
</file>

<file path=docProps/custom.xml><?xml version="1.0" encoding="utf-8"?>
<Properties xmlns="http://schemas.openxmlformats.org/officeDocument/2006/custom-properties" xmlns:vt="http://schemas.openxmlformats.org/officeDocument/2006/docPropsVTypes"/>
</file>