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X08dac5b59c82f7a67d42204fc50ecb298fbf644"/>
    <w:p>
      <w:pPr>
        <w:pStyle w:val="Heading1"/>
      </w:pPr>
      <w:r>
        <w:t xml:space="preserve">Kimberly-Clark (KMB) — 2Q26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KMB’s scheduled 2Q26 earnings date is</w:t>
      </w:r>
      <w:r>
        <w:t xml:space="preserve"> </w:t>
      </w:r>
      <w:r>
        <w:rPr>
          <w:b/>
          <w:bCs/>
        </w:rPr>
        <w:t xml:space="preserve">Tuesday, August 4, 2026 — today, not tomorrow</w:t>
      </w:r>
      <w:r>
        <w:t xml:space="preserve">. The company said it would release results at approximately</w:t>
      </w:r>
      <w:r>
        <w:t xml:space="preserve"> </w:t>
      </w:r>
      <w:r>
        <w:rPr>
          <w:b/>
          <w:bCs/>
        </w:rPr>
        <w:t xml:space="preserve">6:30 a.m. EDT</w:t>
      </w:r>
      <w:r>
        <w:t xml:space="preserve">, followed by an</w:t>
      </w:r>
      <w:r>
        <w:t xml:space="preserve"> </w:t>
      </w:r>
      <w:r>
        <w:rPr>
          <w:b/>
          <w:bCs/>
        </w:rPr>
        <w:t xml:space="preserve">8:00 a.m. EDT</w:t>
      </w:r>
      <w:r>
        <w:t xml:space="preserve"> </w:t>
      </w:r>
      <w:r>
        <w:t xml:space="preserve">analyst Q&amp;A. This preview is therefore the relevant pre-release framework; if results are already out, the release should supersede it.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KMB enters 2Q with</w:t>
      </w:r>
      <w:r>
        <w:t xml:space="preserve"> </w:t>
      </w:r>
      <w:r>
        <w:rPr>
          <w:b/>
          <w:bCs/>
        </w:rPr>
        <w:t xml:space="preserve">healthy underlying consumption, sustained international momentum, and a credible productivity program</w:t>
      </w:r>
      <w:r>
        <w:t xml:space="preserve">, but a quarter where reported growth and margins were explicitly expected to be pressured by</w:t>
      </w:r>
      <w:r>
        <w:t xml:space="preserve"> </w:t>
      </w:r>
      <w:r>
        <w:rPr>
          <w:b/>
          <w:bCs/>
        </w:rPr>
        <w:t xml:space="preserve">shipment timing, a California distribution-center fire, and rising commodity costs</w:t>
      </w:r>
      <w:r>
        <w:t xml:space="preserve">.</w:t>
      </w:r>
    </w:p>
    <w:p>
      <w:pPr>
        <w:pStyle w:val="BodyText"/>
      </w:pPr>
      <w:r>
        <w:t xml:space="preserve">The central issue is less whether KMB can deliver a clean second-quarter headline and more whether management can</w:t>
      </w:r>
      <w:r>
        <w:t xml:space="preserve"> </w:t>
      </w:r>
      <w:r>
        <w:rPr>
          <w:b/>
          <w:bCs/>
        </w:rPr>
        <w:t xml:space="preserve">maintain confidence in the full-year earnings algorithm</w:t>
      </w:r>
      <w:r>
        <w:t xml:space="preserve"> </w:t>
      </w:r>
      <w:r>
        <w:t xml:space="preserve">while preserving its volume-led strategy and investments behind innovation. Investors will also be listening for transaction timing and financing updates around the</w:t>
      </w:r>
      <w:r>
        <w:t xml:space="preserve"> </w:t>
      </w:r>
      <w:r>
        <w:rPr>
          <w:b/>
          <w:bCs/>
        </w:rPr>
        <w:t xml:space="preserve">IFP joint venture with Suzano</w:t>
      </w:r>
      <w:r>
        <w:t xml:space="preserve"> </w:t>
      </w:r>
      <w:r>
        <w:t xml:space="preserve">and the pending</w:t>
      </w:r>
      <w:r>
        <w:t xml:space="preserve"> </w:t>
      </w:r>
      <w:r>
        <w:rPr>
          <w:b/>
          <w:bCs/>
        </w:rPr>
        <w:t xml:space="preserve">Kenvue acquisition</w:t>
      </w:r>
      <w:r>
        <w:t xml:space="preserve">.</w:t>
      </w:r>
    </w:p>
    <w:bookmarkEnd w:id="9"/>
    <w:bookmarkStart w:id="10" w:name="Xfc2680e54d69aa00171fbf7ba1ec1d00075d386"/>
    <w:p>
      <w:pPr>
        <w:pStyle w:val="Heading2"/>
      </w:pPr>
      <w:r>
        <w:t xml:space="preserve">What management previously telegraphed for 2Q</w:t>
      </w:r>
    </w:p>
    <w:p>
      <w:pPr>
        <w:pStyle w:val="FirstParagraph"/>
      </w:pPr>
      <w:r>
        <w:t xml:space="preserve">KMB effectively pre-announced a more difficult quarter at its April earnings call: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sales growth:</w:t>
      </w:r>
      <w:r>
        <w:t xml:space="preserve"> </w:t>
      </w:r>
      <w:r>
        <w:t xml:space="preserve">Expected to be</w:t>
      </w:r>
      <w:r>
        <w:t xml:space="preserve"> </w:t>
      </w:r>
      <w:r>
        <w:rPr>
          <w:b/>
          <w:bCs/>
        </w:rPr>
        <w:t xml:space="preserve">slightly below 1Q’s 2.5%</w:t>
      </w:r>
      <w:r>
        <w:t xml:space="preserve">, reflecting a tough comparison, shipment timing, and roughly a</w:t>
      </w:r>
      <w:r>
        <w:t xml:space="preserve"> </w:t>
      </w:r>
      <w:r>
        <w:rPr>
          <w:b/>
          <w:bCs/>
        </w:rPr>
        <w:t xml:space="preserve">70–80 bps North America sales headwind</w:t>
      </w:r>
      <w:r>
        <w:t xml:space="preserve"> </w:t>
      </w:r>
      <w:r>
        <w:t xml:space="preserve">from the California distribution-center fire.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Operating profit:</w:t>
      </w:r>
      <w:r>
        <w:t xml:space="preserve"> </w:t>
      </w:r>
      <w:r>
        <w:t xml:space="preserve">Management expected approximately</w:t>
      </w:r>
      <w:r>
        <w:t xml:space="preserve"> </w:t>
      </w:r>
      <w:r>
        <w:rPr>
          <w:b/>
          <w:bCs/>
        </w:rPr>
        <w:t xml:space="preserve">$50 million of 2Q pressure</w:t>
      </w:r>
      <w:r>
        <w:t xml:space="preserve"> </w:t>
      </w:r>
      <w:r>
        <w:t xml:space="preserve">from inflation connected to higher energy/input costs and the distribution-center disruption.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Underlying demand:</w:t>
      </w:r>
      <w:r>
        <w:t xml:space="preserve"> </w:t>
      </w:r>
      <w:r>
        <w:t xml:space="preserve">North American consumption was stronger than shipments in 1Q; management said consumption grew</w:t>
      </w:r>
      <w:r>
        <w:t xml:space="preserve"> </w:t>
      </w:r>
      <w:r>
        <w:rPr>
          <w:b/>
          <w:bCs/>
        </w:rPr>
        <w:t xml:space="preserve">3.7%</w:t>
      </w:r>
      <w:r>
        <w:t xml:space="preserve"> </w:t>
      </w:r>
      <w:r>
        <w:t xml:space="preserve">in its North American consumer categories versus</w:t>
      </w:r>
      <w:r>
        <w:t xml:space="preserve"> </w:t>
      </w:r>
      <w:r>
        <w:rPr>
          <w:b/>
          <w:bCs/>
        </w:rPr>
        <w:t xml:space="preserve">1.4% shipment growth</w:t>
      </w:r>
      <w:r>
        <w:t xml:space="preserve">, with some activity shipped ahead in late 4Q25.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Second-half setup:</w:t>
      </w:r>
      <w:r>
        <w:t xml:space="preserve"> </w:t>
      </w:r>
      <w:r>
        <w:t xml:space="preserve">Management expected shipments and organic growth to improve in the back half as comparisons ease and innovation continues to roll out.</w:t>
      </w:r>
    </w:p>
    <w:p>
      <w:pPr>
        <w:pStyle w:val="FirstParagraph"/>
      </w:pPr>
      <w:r>
        <w:t xml:space="preserve">That setup means a modest sales or margin shortfall may not matter much</w:t>
      </w:r>
      <w:r>
        <w:t xml:space="preserve"> </w:t>
      </w:r>
      <w:r>
        <w:rPr>
          <w:b/>
          <w:bCs/>
        </w:rPr>
        <w:t xml:space="preserve">if scanner/consumption trends, market-share commentary, and the second-half outlook remain intact</w:t>
      </w:r>
      <w:r>
        <w:t xml:space="preserve">.</w:t>
      </w:r>
    </w:p>
    <w:bookmarkEnd w:id="10"/>
    <w:bookmarkStart w:id="14" w:name="X462767da39633480eb7ec8db4cea779670720be"/>
    <w:p>
      <w:pPr>
        <w:pStyle w:val="Heading2"/>
      </w:pPr>
      <w:r>
        <w:t xml:space="preserve">The three most important questions for the call</w:t>
      </w:r>
    </w:p>
    <w:bookmarkStart w:id="11" w:name="X8ab4352df7b87c01550fe22f3537b097ad12b0c"/>
    <w:p>
      <w:pPr>
        <w:pStyle w:val="Heading3"/>
      </w:pPr>
      <w:r>
        <w:t xml:space="preserve">1. Can KMB defend full-year margin and EPS guidance amid commodity volatility?</w:t>
      </w:r>
    </w:p>
    <w:p>
      <w:pPr>
        <w:pStyle w:val="FirstParagraph"/>
      </w:pPr>
      <w:r>
        <w:t xml:space="preserve">This is the key earnings risk.</w:t>
      </w:r>
    </w:p>
    <w:p>
      <w:pPr>
        <w:pStyle w:val="BodyText"/>
      </w:pPr>
      <w:r>
        <w:t xml:space="preserve">At 1Q, management said that if oil averaged around</w:t>
      </w:r>
      <w:r>
        <w:t xml:space="preserve"> </w:t>
      </w:r>
      <m:oMath>
        <m:r>
          <m:t>100</m:t>
        </m:r>
        <m:r>
          <m:t>p</m:t>
        </m:r>
        <m:r>
          <m:t>e</m:t>
        </m:r>
        <m:r>
          <m:t>r</m:t>
        </m:r>
        <m:r>
          <m:t>b</m:t>
        </m:r>
        <m:r>
          <m:t>a</m:t>
        </m:r>
        <m:r>
          <m:t>r</m:t>
        </m:r>
        <m:r>
          <m:t>r</m:t>
        </m:r>
        <m:r>
          <m:t>e</m:t>
        </m:r>
        <m:r>
          <m:t>l</m:t>
        </m:r>
        <m:r>
          <m:rPr>
            <m:sty m:val="p"/>
          </m:rPr>
          <m:t>,</m:t>
        </m:r>
        <m:r>
          <m:t>i</m:t>
        </m:r>
        <m:r>
          <m:t>t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f</m:t>
        </m:r>
        <m:r>
          <m:t>a</m:t>
        </m:r>
        <m:r>
          <m:t>c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150 million–$170 million of gross incremental input costs in the second half**—not yet incorporated into the outlook and before mitigation. The company’s response has been that it has multiple levers:</w:t>
      </w:r>
    </w:p>
    <w:p>
      <w:pPr>
        <w:pStyle w:val="Compact"/>
        <w:numPr>
          <w:ilvl w:val="0"/>
          <w:numId w:val="1002"/>
        </w:numPr>
      </w:pPr>
      <w:r>
        <w:t xml:space="preserve">revenue growth management / selective pricing and pack architecture;</w:t>
      </w:r>
    </w:p>
    <w:p>
      <w:pPr>
        <w:pStyle w:val="Compact"/>
        <w:numPr>
          <w:ilvl w:val="0"/>
          <w:numId w:val="1002"/>
        </w:numPr>
      </w:pPr>
      <w:r>
        <w:t xml:space="preserve">supplier negotiations and hedging;</w:t>
      </w:r>
    </w:p>
    <w:p>
      <w:pPr>
        <w:pStyle w:val="Compact"/>
        <w:numPr>
          <w:ilvl w:val="0"/>
          <w:numId w:val="1002"/>
        </w:numPr>
      </w:pPr>
      <w:r>
        <w:t xml:space="preserve">productivity;</w:t>
      </w:r>
    </w:p>
    <w:p>
      <w:pPr>
        <w:pStyle w:val="Compact"/>
        <w:numPr>
          <w:ilvl w:val="0"/>
          <w:numId w:val="1002"/>
        </w:numPr>
      </w:pPr>
      <w:r>
        <w:t xml:space="preserve">overhead savings; and</w:t>
      </w:r>
    </w:p>
    <w:p>
      <w:pPr>
        <w:pStyle w:val="Compact"/>
        <w:numPr>
          <w:ilvl w:val="0"/>
          <w:numId w:val="1002"/>
        </w:numPr>
      </w:pPr>
      <w:r>
        <w:t xml:space="preserve">disciplined “pricing net of commodity costs” management over time.</w:t>
      </w:r>
    </w:p>
    <w:p>
      <w:pPr>
        <w:pStyle w:val="FirstParagraph"/>
      </w:pPr>
      <w:r>
        <w:t xml:space="preserve">KMB reaffirmed 2026 guidance in April for:</w:t>
      </w:r>
    </w:p>
    <w:p>
      <w:pPr>
        <w:pStyle w:val="Compact"/>
        <w:numPr>
          <w:ilvl w:val="0"/>
          <w:numId w:val="1003"/>
        </w:numPr>
      </w:pPr>
      <w:r>
        <w:t xml:space="preserve">organic sales growth at or ahead of category growth, then estimated at roughly</w:t>
      </w:r>
      <w:r>
        <w:t xml:space="preserve"> </w:t>
      </w:r>
      <w:r>
        <w:rPr>
          <w:b/>
          <w:bCs/>
        </w:rPr>
        <w:t xml:space="preserve">2.5%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constant-currency adjusted operating-profit growth in the</w:t>
      </w:r>
      <w:r>
        <w:t xml:space="preserve"> </w:t>
      </w:r>
      <w:r>
        <w:rPr>
          <w:b/>
          <w:bCs/>
        </w:rPr>
        <w:t xml:space="preserve">mid- to high-single digits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double-digit constant-currency adjusted EPS growth from continuing operations; and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70–80 bps</w:t>
      </w:r>
      <w:r>
        <w:t xml:space="preserve"> </w:t>
      </w:r>
      <w:r>
        <w:t xml:space="preserve">of gross- and operating-margin expansion for the full year.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A full reaffirmation—especially with no material reduction in margin expectations—would be constructive. A guide cut, or commentary suggesting that pricing must become more aggressive, would challenge the thesis that KMB can absorb another cost shock without sacrificing volume momentum.</w:t>
      </w:r>
    </w:p>
    <w:bookmarkEnd w:id="11"/>
    <w:bookmarkStart w:id="12" w:name="Xb52b1f565795aeeedd556a89c1a12deac1479f9"/>
    <w:p>
      <w:pPr>
        <w:pStyle w:val="Heading3"/>
      </w:pPr>
      <w:r>
        <w:t xml:space="preserve">2. Is North American growth still genuinely volume- and innovation-led?</w:t>
      </w:r>
    </w:p>
    <w:p>
      <w:pPr>
        <w:pStyle w:val="FirstParagraph"/>
      </w:pPr>
      <w:r>
        <w:t xml:space="preserve">The bull case rests on KMB’s ability to grow categories often viewed as mature through better products, premiumization, and a strengthened value-tier offering.</w:t>
      </w:r>
    </w:p>
    <w:p>
      <w:pPr>
        <w:pStyle w:val="BodyText"/>
      </w:pPr>
      <w:r>
        <w:t xml:space="preserve">In 1Q:</w:t>
      </w:r>
    </w:p>
    <w:p>
      <w:pPr>
        <w:pStyle w:val="Compact"/>
        <w:numPr>
          <w:ilvl w:val="0"/>
          <w:numId w:val="1004"/>
        </w:numPr>
      </w:pPr>
      <w:r>
        <w:t xml:space="preserve">consolidated organic sales rose</w:t>
      </w:r>
      <w:r>
        <w:t xml:space="preserve"> </w:t>
      </w:r>
      <w:r>
        <w:rPr>
          <w:b/>
          <w:bCs/>
        </w:rPr>
        <w:t xml:space="preserve">2.5%</w:t>
      </w:r>
      <w:r>
        <w:t xml:space="preserve">, with</w:t>
      </w:r>
      <w:r>
        <w:t xml:space="preserve"> </w:t>
      </w:r>
      <w:r>
        <w:rPr>
          <w:b/>
          <w:bCs/>
        </w:rPr>
        <w:t xml:space="preserve">3.0% volume-plus-mix</w:t>
      </w:r>
      <w:r>
        <w:t xml:space="preserve"> </w:t>
      </w:r>
      <w:r>
        <w:t xml:space="preserve">partly offset by</w:t>
      </w:r>
      <w:r>
        <w:t xml:space="preserve"> </w:t>
      </w:r>
      <w:r>
        <w:rPr>
          <w:b/>
          <w:bCs/>
        </w:rPr>
        <w:t xml:space="preserve">0.5% lower pricing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North America organic sales grew</w:t>
      </w:r>
      <w:r>
        <w:t xml:space="preserve"> </w:t>
      </w:r>
      <w:r>
        <w:rPr>
          <w:b/>
          <w:bCs/>
        </w:rPr>
        <w:t xml:space="preserve">1.8%</w:t>
      </w:r>
      <w:r>
        <w:t xml:space="preserve">, despite reported sales declining 0.6% because of the exit from private-label diapers;</w:t>
      </w:r>
    </w:p>
    <w:p>
      <w:pPr>
        <w:pStyle w:val="Compact"/>
        <w:numPr>
          <w:ilvl w:val="0"/>
          <w:numId w:val="1004"/>
        </w:numPr>
      </w:pPr>
      <w:r>
        <w:t xml:space="preserve">International Personal Care organic sales grew</w:t>
      </w:r>
      <w:r>
        <w:t xml:space="preserve"> </w:t>
      </w:r>
      <w:r>
        <w:rPr>
          <w:b/>
          <w:bCs/>
        </w:rPr>
        <w:t xml:space="preserve">4.0%</w:t>
      </w:r>
      <w:r>
        <w:t xml:space="preserve">, led by</w:t>
      </w:r>
      <w:r>
        <w:t xml:space="preserve"> </w:t>
      </w:r>
      <w:r>
        <w:rPr>
          <w:b/>
          <w:bCs/>
        </w:rPr>
        <w:t xml:space="preserve">4.1% volume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1.4% mix</w:t>
      </w:r>
      <w:r>
        <w:t xml:space="preserve">.</w:t>
      </w:r>
    </w:p>
    <w:p>
      <w:pPr>
        <w:pStyle w:val="FirstParagraph"/>
      </w:pPr>
      <w:r>
        <w:t xml:space="preserve">Management has emphasized that promotion is intended to drive trial of innovations—particularly Huggies Snug &amp; Dry—rather than represent a structural shift toward promotional competition.</w:t>
      </w:r>
    </w:p>
    <w:p>
      <w:pPr>
        <w:pStyle w:val="BodyText"/>
      </w:pPr>
      <w:r>
        <w:rPr>
          <w:b/>
          <w:bCs/>
        </w:rPr>
        <w:t xml:space="preserve">Watch for:</w:t>
      </w:r>
    </w:p>
    <w:p>
      <w:pPr>
        <w:pStyle w:val="Compact"/>
        <w:numPr>
          <w:ilvl w:val="0"/>
          <w:numId w:val="1005"/>
        </w:numPr>
      </w:pPr>
      <w:r>
        <w:t xml:space="preserve">North American consumption, household penetration, and share trends;</w:t>
      </w:r>
    </w:p>
    <w:p>
      <w:pPr>
        <w:pStyle w:val="Compact"/>
        <w:numPr>
          <w:ilvl w:val="0"/>
          <w:numId w:val="1005"/>
        </w:numPr>
      </w:pPr>
      <w:r>
        <w:t xml:space="preserve">whether promotional spending normalizes after launch-related trial activity;</w:t>
      </w:r>
    </w:p>
    <w:p>
      <w:pPr>
        <w:pStyle w:val="Compact"/>
        <w:numPr>
          <w:ilvl w:val="0"/>
          <w:numId w:val="1005"/>
        </w:numPr>
      </w:pPr>
      <w:r>
        <w:t xml:space="preserve">category elasticity and trade-down behavior among lower-income consumers;</w:t>
      </w:r>
    </w:p>
    <w:p>
      <w:pPr>
        <w:pStyle w:val="Compact"/>
        <w:numPr>
          <w:ilvl w:val="0"/>
          <w:numId w:val="1005"/>
        </w:numPr>
      </w:pPr>
      <w:r>
        <w:t xml:space="preserve">confirmation that volume remains positive even as KMB considers revenue-management actions to offset costs.</w:t>
      </w:r>
    </w:p>
    <w:bookmarkEnd w:id="12"/>
    <w:bookmarkStart w:id="13" w:name="X547ba9ab2dc17a56262fcd4a6e9788524ba73df"/>
    <w:p>
      <w:pPr>
        <w:pStyle w:val="Heading3"/>
      </w:pPr>
      <w:r>
        <w:t xml:space="preserve">3. Are the Kenvue and IFP transactions progressing on schedule?</w:t>
      </w:r>
    </w:p>
    <w:p>
      <w:pPr>
        <w:pStyle w:val="FirstParagraph"/>
      </w:pPr>
      <w:r>
        <w:t xml:space="preserve">KMB’s standalone earnings are now intertwined with a major portfolio and capital-structure transition.</w:t>
      </w:r>
    </w:p>
    <w:p>
      <w:pPr>
        <w:pStyle w:val="BodyText"/>
      </w:pPr>
      <w:r>
        <w:t xml:space="preserve">Management previously expected:</w:t>
      </w:r>
    </w:p>
    <w:p>
      <w:pPr>
        <w:pStyle w:val="Compact"/>
        <w:numPr>
          <w:ilvl w:val="0"/>
          <w:numId w:val="1006"/>
        </w:numPr>
      </w:pPr>
      <w:r>
        <w:t xml:space="preserve">the IFP transaction with Suzano to close around</w:t>
      </w:r>
      <w:r>
        <w:t xml:space="preserve"> </w:t>
      </w:r>
      <w:r>
        <w:rPr>
          <w:b/>
          <w:bCs/>
        </w:rPr>
        <w:t xml:space="preserve">mid-2026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IFP proceeds to help fund the Kenvue acquisition;</w:t>
      </w:r>
    </w:p>
    <w:p>
      <w:pPr>
        <w:pStyle w:val="Compact"/>
        <w:numPr>
          <w:ilvl w:val="0"/>
          <w:numId w:val="1006"/>
        </w:numPr>
      </w:pPr>
      <w:r>
        <w:t xml:space="preserve">leverage of about</w:t>
      </w:r>
      <w:r>
        <w:t xml:space="preserve"> </w:t>
      </w:r>
      <w:r>
        <w:rPr>
          <w:b/>
          <w:bCs/>
        </w:rPr>
        <w:t xml:space="preserve">2.9x EBITDA at Kenvue close</w:t>
      </w:r>
      <w:r>
        <w:t xml:space="preserve">, declining toward</w:t>
      </w:r>
      <w:r>
        <w:t xml:space="preserve"> </w:t>
      </w:r>
      <w:r>
        <w:rPr>
          <w:b/>
          <w:bCs/>
        </w:rPr>
        <w:t xml:space="preserve">2.0x within 24 months</w:t>
      </w:r>
      <w:r>
        <w:t xml:space="preserve"> </w:t>
      </w:r>
      <w:r>
        <w:t xml:space="preserve">through earnings growth and debt reduction; and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$1.9 billion of Kenvue cost synergies</w:t>
      </w:r>
      <w:r>
        <w:t xml:space="preserve">.</w:t>
      </w:r>
    </w:p>
    <w:p>
      <w:pPr>
        <w:pStyle w:val="FirstParagraph"/>
      </w:pPr>
      <w:r>
        <w:t xml:space="preserve">At a June investor conference, KMB described more than 40 integration workstreams and said it was gaining confidence in synergy delivery. Still, investors need updated clarity on:</w:t>
      </w:r>
    </w:p>
    <w:p>
      <w:pPr>
        <w:pStyle w:val="Compact"/>
        <w:numPr>
          <w:ilvl w:val="0"/>
          <w:numId w:val="1007"/>
        </w:numPr>
      </w:pPr>
      <w:r>
        <w:t xml:space="preserve">regulatory and closing timing;</w:t>
      </w:r>
    </w:p>
    <w:p>
      <w:pPr>
        <w:pStyle w:val="Compact"/>
        <w:numPr>
          <w:ilvl w:val="0"/>
          <w:numId w:val="1007"/>
        </w:numPr>
      </w:pPr>
      <w:r>
        <w:t xml:space="preserve">cash proceeds and separation costs related to IFP;</w:t>
      </w:r>
    </w:p>
    <w:p>
      <w:pPr>
        <w:pStyle w:val="Compact"/>
        <w:numPr>
          <w:ilvl w:val="0"/>
          <w:numId w:val="1007"/>
        </w:numPr>
      </w:pPr>
      <w:r>
        <w:t xml:space="preserve">expected leverage at close;</w:t>
      </w:r>
    </w:p>
    <w:p>
      <w:pPr>
        <w:pStyle w:val="Compact"/>
        <w:numPr>
          <w:ilvl w:val="0"/>
          <w:numId w:val="1007"/>
        </w:numPr>
      </w:pPr>
      <w:r>
        <w:t xml:space="preserve">transaction and integration expenses; and</w:t>
      </w:r>
    </w:p>
    <w:p>
      <w:pPr>
        <w:pStyle w:val="Compact"/>
        <w:numPr>
          <w:ilvl w:val="0"/>
          <w:numId w:val="1007"/>
        </w:numPr>
      </w:pPr>
      <w:r>
        <w:t xml:space="preserve">whether Kenvue’s standalone operational progress has changed KMB’s view of the synergy or growth opportunity.</w:t>
      </w:r>
    </w:p>
    <w:bookmarkEnd w:id="13"/>
    <w:bookmarkEnd w:id="14"/>
    <w:bookmarkStart w:id="15" w:name="X9514e0ebff2fdb378b875c96fa79855ebb1318f"/>
    <w:p>
      <w:pPr>
        <w:pStyle w:val="Heading2"/>
      </w:pPr>
      <w:r>
        <w:t xml:space="preserve">Why the underlying setup remains constructive</w:t>
      </w:r>
    </w:p>
    <w:p>
      <w:pPr>
        <w:pStyle w:val="FirstParagraph"/>
      </w:pPr>
      <w:r>
        <w:t xml:space="preserve">KMB’s 1Q showed the core business moving in the desired direction: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1Q26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  <w:tc>
          <w:tcPr/>
          <w:p>
            <w:pPr>
              <w:pStyle w:val="Compact"/>
            </w:pPr>
            <w:r>
              <w:t xml:space="preserve">Investor relevance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$4.16B</w:t>
            </w:r>
            <w:r>
              <w:t xml:space="preserve">, +2.7%</w:t>
            </w:r>
          </w:p>
        </w:tc>
        <w:tc>
          <w:tcPr/>
          <w:p>
            <w:pPr>
              <w:pStyle w:val="Compact"/>
            </w:pPr>
            <w:r>
              <w:t xml:space="preserve">Reported growth included favorable FX but was affected by business exits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Growth was largely volume/mix driven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Volume-plus-mix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Supports the innovation-led growth narrative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$732M</w:t>
            </w:r>
            <w:r>
              <w:t xml:space="preserve">, +3.7%</w:t>
            </w:r>
          </w:p>
        </w:tc>
        <w:tc>
          <w:tcPr/>
          <w:p>
            <w:pPr>
              <w:pStyle w:val="Compact"/>
            </w:pPr>
            <w:r>
              <w:t xml:space="preserve">Productivity and overhead savings outweighed pricing/cost pressure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EPS, continuing operations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$1.60</w:t>
            </w:r>
            <w:r>
              <w:t xml:space="preserve">, -1.2%</w:t>
            </w:r>
          </w:p>
        </w:tc>
        <w:tc>
          <w:tcPr/>
          <w:p>
            <w:pPr>
              <w:pStyle w:val="Compact"/>
            </w:pPr>
            <w:r>
              <w:t xml:space="preserve">Tax-rate normalization offset operating-profit progress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from operations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$745M</w:t>
            </w:r>
          </w:p>
        </w:tc>
        <w:tc>
          <w:tcPr/>
          <w:p>
            <w:pPr>
              <w:pStyle w:val="Compact"/>
            </w:pPr>
            <w:r>
              <w:t xml:space="preserve">Supports dividends, investment, and transaction flexibility</w:t>
            </w:r>
          </w:p>
        </w:tc>
      </w:tr>
    </w:tbl>
    <w:p>
      <w:pPr>
        <w:pStyle w:val="BodyText"/>
      </w:pPr>
      <w:r>
        <w:t xml:space="preserve">The company also highlighted a substantial standalone cost program. In June, management said it had delivered</w:t>
      </w:r>
      <w:r>
        <w:t xml:space="preserve"> </w:t>
      </w:r>
      <w:r>
        <w:rPr>
          <w:b/>
          <w:bCs/>
        </w:rPr>
        <w:t xml:space="preserve">56% of its five-year, $3 billion productivity target</w:t>
      </w:r>
      <w:r>
        <w:t xml:space="preserve"> </w:t>
      </w:r>
      <w:r>
        <w:t xml:space="preserve">through 1Q and continued to target roughly</w:t>
      </w:r>
      <w:r>
        <w:t xml:space="preserve"> </w:t>
      </w:r>
      <w:r>
        <w:rPr>
          <w:b/>
          <w:bCs/>
        </w:rPr>
        <w:t xml:space="preserve">6% gross productivity</w:t>
      </w:r>
      <w:r>
        <w:t xml:space="preserve"> </w:t>
      </w:r>
      <w:r>
        <w:t xml:space="preserve">for 2026. That productivity capacity is especially important if commodity pressure proves persistent.</w:t>
      </w:r>
    </w:p>
    <w:bookmarkEnd w:id="15"/>
    <w:bookmarkStart w:id="16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KMB closed at</w:t>
      </w:r>
      <w:r>
        <w:t xml:space="preserve"> </w:t>
      </w:r>
      <w:r>
        <w:rPr>
          <w:b/>
          <w:bCs/>
        </w:rPr>
        <w:t xml:space="preserve">$107.59 on August 3</w:t>
      </w:r>
      <w:r>
        <w:t xml:space="preserve">. The stock had risen about</w:t>
      </w:r>
      <w:r>
        <w:t xml:space="preserve"> </w:t>
      </w:r>
      <w:r>
        <w:rPr>
          <w:b/>
          <w:bCs/>
        </w:rPr>
        <w:t xml:space="preserve">9.5%</w:t>
      </w:r>
      <w:r>
        <w:t xml:space="preserve"> </w:t>
      </w:r>
      <w:r>
        <w:t xml:space="preserve">from the day before 1Q earnings through August 3, but it was down about</w:t>
      </w:r>
      <w:r>
        <w:t xml:space="preserve"> </w:t>
      </w:r>
      <w:r>
        <w:rPr>
          <w:b/>
          <w:bCs/>
        </w:rPr>
        <w:t xml:space="preserve">6.2% from its July 2 high/close</w:t>
      </w:r>
      <w:r>
        <w:t xml:space="preserve">, suggesting that some optimism around the base business and strategic transactions has already moderated ahead of the report.</w:t>
      </w:r>
    </w:p>
    <w:p>
      <w:pPr>
        <w:pStyle w:val="BodyText"/>
      </w:pPr>
      <w:r>
        <w:t xml:space="preserve">This likely makes the reaction highly dependent on the credibility of management’s forward commentary: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Constructive outcome:</w:t>
      </w:r>
      <w:r>
        <w:t xml:space="preserve"> </w:t>
      </w:r>
      <w:r>
        <w:t xml:space="preserve">Resilient organic growth and share, manageable 2Q cost impact, reaffirmed full-year outlook, and firm transaction timing.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Mixed outcome:</w:t>
      </w:r>
      <w:r>
        <w:t xml:space="preserve"> </w:t>
      </w:r>
      <w:r>
        <w:t xml:space="preserve">A modest 2Q miss attributed to known shipment/fire factors, but guidance maintained and underlying consumption remains healthy.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Negative outcome:</w:t>
      </w:r>
      <w:r>
        <w:t xml:space="preserve"> </w:t>
      </w:r>
      <w:r>
        <w:t xml:space="preserve">A guide reduction, weaker North American consumption/share, evidence that promotional investment is becoming structural, or a more concerning commodity/financing outlook.</w:t>
      </w:r>
    </w:p>
    <w:bookmarkEnd w:id="16"/>
    <w:bookmarkStart w:id="17" w:name="key-takeaways"/>
    <w:p>
      <w:pPr>
        <w:pStyle w:val="Heading2"/>
      </w:pPr>
      <w:r>
        <w:t xml:space="preserve">Key takeaways</w:t>
      </w:r>
    </w:p>
    <w:p>
      <w:pPr>
        <w:pStyle w:val="FirstParagraph"/>
      </w:pPr>
      <w:r>
        <w:t xml:space="preserve">KMB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need a flawless 2Q headline to support the investment case. It needs to demonstrate that the expected 2Q disruption is temporary and that: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North American demand remains stronger than reported shipments;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International growth and productivity continue to offset pressure elsewhere;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Commodity inflation can be mitigated without breaking the volume-led model;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Kenvue/IFP timeline, leverage path, and synergy case remain credible.</w:t>
      </w:r>
    </w:p>
    <w:p>
      <w:pPr>
        <w:pStyle w:val="FirstParagraph"/>
      </w:pPr>
      <w:r>
        <w:t xml:space="preserve">The most consequential line in the release and call will be the outlook: whether management still sees a path to its planned</w:t>
      </w:r>
      <w:r>
        <w:t xml:space="preserve"> </w:t>
      </w:r>
      <w:r>
        <w:rPr>
          <w:b/>
          <w:bCs/>
        </w:rPr>
        <w:t xml:space="preserve">mid/high-single-digit adjusted operating-profit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double-digit continuing-operations EPS growth</w:t>
      </w:r>
      <w:r>
        <w:t xml:space="preserve"> </w:t>
      </w:r>
      <w:r>
        <w:t xml:space="preserve">in 2026.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2026-08-04T00:24:26Z</dcterms:created>
  <dcterms:modified xsi:type="dcterms:W3CDTF">2026-08-04T00:24:26Z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