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Kimberly-Clark Corporation (KMB)</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August 4, 2026  </w:t>
      </w:r>
      <w:r>
        <w:rPr>
          <w:rFonts w:ascii="Calibri" w:hAnsi="Calibri"/>
          <w:b/>
          <w:color w:val="525866"/>
          <w:sz w:val="22"/>
        </w:rPr>
        <w:t xml:space="preserve">Prepared: </w:t>
      </w:r>
      <w:r>
        <w:rPr>
          <w:rFonts w:ascii="Calibri" w:hAnsi="Calibri"/>
          <w:color w:val="525866"/>
          <w:sz w:val="22"/>
        </w:rPr>
        <w:t xml:space="preserve">August 3, 2026  </w:t>
      </w:r>
      <w:r>
        <w:rPr>
          <w:rFonts w:ascii="Calibri" w:hAnsi="Calibri"/>
          <w:b/>
          <w:color w:val="525866"/>
          <w:sz w:val="22"/>
        </w:rPr>
        <w:t xml:space="preserve">Reporting Period: </w:t>
      </w:r>
      <w:r>
        <w:rPr>
          <w:rFonts w:ascii="Calibri" w:hAnsi="Calibri"/>
          <w:color w:val="525866"/>
          <w:sz w:val="22"/>
        </w:rPr>
        <w:t>Q2 2026 (April – June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a </w:t>
      </w:r>
      <w:r>
        <w:rPr>
          <w:rFonts w:ascii="Calibri" w:hAnsi="Calibri"/>
          <w:b/>
          <w:color w:val="30A46C"/>
          <w:sz w:val="22"/>
        </w:rPr>
        <w:t>modest beat</w:t>
      </w:r>
      <w:r>
        <w:rPr>
          <w:rFonts w:ascii="Calibri" w:hAnsi="Calibri"/>
          <w:color w:val="525866"/>
          <w:sz w:val="22"/>
        </w:rPr>
        <w:t xml:space="preserve"> — consensus is a manageable bar given KMB's strong innovation pipeline and volume/mix momentum, but the </w:t>
      </w:r>
      <w:r>
        <w:rPr>
          <w:rFonts w:ascii="Calibri" w:hAnsi="Calibri"/>
          <w:b/>
          <w:color w:val="E5484D"/>
          <w:sz w:val="22"/>
        </w:rPr>
        <w:t>$50M bottom-line headwind</w:t>
      </w:r>
      <w:r>
        <w:rPr>
          <w:rFonts w:ascii="Calibri" w:hAnsi="Calibri"/>
          <w:color w:val="525866"/>
          <w:sz w:val="22"/>
        </w:rPr>
        <w:t xml:space="preserve"> from Middle East-driven input cost inflation and the California DC fire is the single biggest swing factor.</w:t>
      </w:r>
    </w:p>
    <w:p>
      <w:r>
        <w:rPr>
          <w:rFonts w:ascii="Calibri" w:hAnsi="Calibri"/>
          <w:color w:val="525866"/>
          <w:sz w:val="22"/>
        </w:rPr>
        <w:t xml:space="preserve">Heading into Q2 2026, the bar for Kimberly-Clark is achievable but not easy. </w:t>
      </w:r>
      <w:r>
        <w:rPr>
          <w:rFonts w:ascii="Calibri" w:hAnsi="Calibri"/>
          <w:b/>
          <w:color w:val="525866"/>
          <w:sz w:val="22"/>
        </w:rPr>
        <w:t>Consensus organic sales growth of ~1.2% sits below the company's own full-year target of ~2.5%</w:t>
      </w:r>
      <w:r>
        <w:rPr>
          <w:rFonts w:ascii="Calibri" w:hAnsi="Calibri"/>
          <w:color w:val="525866"/>
          <w:sz w:val="22"/>
        </w:rPr>
        <w:t xml:space="preserve">, reflecting two known headwinds management pre-disclosed on the Q1 call: a ~$20M top-line drag from the California distribution center fire (70–80 bps for North America) and the toughest prior-year comparable of the year (total enterprise +4%, North America volume +5% in Q2 2025). Management's tone on the Q1 call was constructive — they described Q2 as a temporary soft patch before a back-half acceleration — and the innovation pipeline entering Q2 was characterized as "one of the strongest in our history." Estimate revisions have been largely stable since the Q1 print, with adjusted EPS consensus ticking up slightly from $1.64 to $1.62 (post-Q1 baseline), suggesting the street has absorbed the known headwinds without panic. </w:t>
      </w:r>
      <w:r>
        <w:rPr>
          <w:rFonts w:ascii="Calibri" w:hAnsi="Calibri"/>
          <w:b/>
          <w:color w:val="525866"/>
          <w:sz w:val="22"/>
        </w:rPr>
        <w:t>The stock has rallied ~11% since the Q1 earnings date</w:t>
      </w:r>
      <w:r>
        <w:rPr>
          <w:rFonts w:ascii="Calibri" w:hAnsi="Calibri"/>
          <w:color w:val="525866"/>
          <w:sz w:val="22"/>
        </w:rPr>
        <w:t xml:space="preserve"> (vs. XLP +2.4%, SPY +5.0%), pricing in a degree of execution confidence, which raises the bar for a positive surprise. The key wildcard is </w:t>
      </w:r>
      <w:r>
        <w:rPr>
          <w:rFonts w:ascii="Calibri" w:hAnsi="Calibri"/>
          <w:b/>
          <w:color w:val="525866"/>
          <w:sz w:val="22"/>
        </w:rPr>
        <w:t>input cost trajectory</w:t>
      </w:r>
      <w:r>
        <w:rPr>
          <w:rFonts w:ascii="Calibri" w:hAnsi="Calibri"/>
          <w:color w:val="525866"/>
          <w:sz w:val="22"/>
        </w:rPr>
        <w:t>: management flagged a potential $150–170M gross incremental cost headwind in H2 if oil stays near $100/bbl, and any update on whether that risk is materializing — or being mitigated — will drive the stock reaction more than the Q2 print itself.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30A46C"/>
          <w:sz w:val="22"/>
        </w:rPr>
        <w:t>low bar on organic sales (~1.2%)</w:t>
      </w:r>
      <w:r>
        <w:rPr>
          <w:rFonts w:ascii="Calibri" w:hAnsi="Calibri"/>
          <w:color w:val="525866"/>
          <w:sz w:val="22"/>
        </w:rPr>
        <w:t xml:space="preserve"> given known headwinds, while </w:t>
      </w:r>
      <w:r>
        <w:rPr>
          <w:rFonts w:ascii="Calibri" w:hAnsi="Calibri"/>
          <w:b/>
          <w:color w:val="525866"/>
          <w:sz w:val="22"/>
        </w:rPr>
        <w:t>adjusted EPS (~$1.62) is the bigger swing factor</w:t>
      </w:r>
      <w:r>
        <w:rPr>
          <w:rFonts w:ascii="Calibri" w:hAnsi="Calibri"/>
          <w:color w:val="525866"/>
          <w:sz w:val="22"/>
        </w:rPr>
        <w:t xml:space="preserve"> — the $50M pre-disclosed bottom-line hit from input costs and the DC fire is already in estimates, so any mitigation or upside on volume/mix could drive a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(Q2 2025)</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$4.163B</w:t>
            </w:r>
          </w:p>
        </w:tc>
        <w:tc>
          <w:tcPr>
            <w:tcW w:type="dxa" w:w="1234"/>
          </w:tcPr>
          <w:p>
            <w:r>
              <w:rPr>
                <w:rFonts w:ascii="Calibri" w:hAnsi="Calibri"/>
                <w:sz w:val="22"/>
              </w:rPr>
              <w:t>$4.163B</w:t>
            </w:r>
          </w:p>
        </w:tc>
        <w:tc>
          <w:tcPr>
            <w:tcW w:type="dxa" w:w="1234"/>
          </w:tcPr>
          <w:p>
            <w:r>
              <w:rPr>
                <w:rFonts w:ascii="Calibri" w:hAnsi="Calibri"/>
                <w:sz w:val="22"/>
              </w:rPr>
              <w:t>$4.224B</w:t>
            </w:r>
          </w:p>
        </w:tc>
        <w:tc>
          <w:tcPr>
            <w:tcW w:type="dxa" w:w="1234"/>
          </w:tcPr>
          <w:p>
            <w:r>
              <w:rPr>
                <w:rFonts w:ascii="Calibri" w:hAnsi="Calibri"/>
                <w:sz w:val="22"/>
              </w:rPr>
              <w:t>+1.5%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Organic Sales Growth (%)</w:t>
            </w:r>
          </w:p>
        </w:tc>
        <w:tc>
          <w:tcPr>
            <w:tcW w:type="dxa" w:w="1234"/>
          </w:tcPr>
          <w:p>
            <w:r>
              <w:rPr>
                <w:rFonts w:ascii="Calibri" w:hAnsi="Calibri"/>
                <w:sz w:val="22"/>
              </w:rPr>
              <w:t>2.5%</w:t>
            </w:r>
          </w:p>
        </w:tc>
        <w:tc>
          <w:tcPr>
            <w:tcW w:type="dxa" w:w="1234"/>
          </w:tcPr>
          <w:p>
            <w:r>
              <w:rPr>
                <w:rFonts w:ascii="Calibri" w:hAnsi="Calibri"/>
                <w:sz w:val="22"/>
              </w:rPr>
              <w:t>3.9%</w:t>
            </w:r>
          </w:p>
        </w:tc>
        <w:tc>
          <w:tcPr>
            <w:tcW w:type="dxa" w:w="1234"/>
          </w:tcPr>
          <w:p>
            <w:r>
              <w:rPr>
                <w:rFonts w:ascii="Calibri" w:hAnsi="Calibri"/>
                <w:sz w:val="22"/>
              </w:rPr>
              <w:t>~1.2%</w:t>
            </w:r>
          </w:p>
        </w:tc>
        <w:tc>
          <w:tcPr>
            <w:tcW w:type="dxa" w:w="1234"/>
          </w:tcPr>
          <w:p>
            <w:r>
              <w:rPr>
                <w:rFonts w:ascii="Calibri" w:hAnsi="Calibri"/>
                <w:sz w:val="22"/>
              </w:rPr>
              <w:t>-270 bps YoY</w:t>
            </w:r>
          </w:p>
        </w:tc>
        <w:tc>
          <w:tcPr>
            <w:tcW w:type="dxa" w:w="1234"/>
          </w:tcPr>
          <w:p>
            <w:r>
              <w:rPr>
                <w:rFonts w:ascii="Calibri" w:hAnsi="Calibri"/>
                <w:sz w:val="22"/>
              </w:rPr>
              <w:t>"Slightly below Q1" (~2%)</w:t>
            </w:r>
          </w:p>
        </w:tc>
        <w:tc>
          <w:tcPr>
            <w:tcW w:type="dxa" w:w="1234"/>
          </w:tcPr>
          <w:p>
            <w:r>
              <w:rPr>
                <w:rFonts w:ascii="Calibri" w:hAnsi="Calibri"/>
                <w:sz w:val="22"/>
              </w:rPr>
              <w:t>~-80 bps below guidance midpoint</w:t>
            </w:r>
          </w:p>
        </w:tc>
      </w:tr>
      <w:tr>
        <w:tc>
          <w:tcPr>
            <w:tcW w:type="dxa" w:w="1234"/>
          </w:tcPr>
          <w:p>
            <w:r>
              <w:rPr>
                <w:rFonts w:ascii="Calibri" w:hAnsi="Calibri"/>
                <w:sz w:val="22"/>
              </w:rPr>
              <w:t>Volume + Mix (%)</w:t>
            </w:r>
          </w:p>
        </w:tc>
        <w:tc>
          <w:tcPr>
            <w:tcW w:type="dxa" w:w="1234"/>
          </w:tcPr>
          <w:p>
            <w:r>
              <w:rPr>
                <w:rFonts w:ascii="Calibri" w:hAnsi="Calibri"/>
                <w:sz w:val="22"/>
              </w:rPr>
              <w:t>3.0%</w:t>
            </w:r>
          </w:p>
        </w:tc>
        <w:tc>
          <w:tcPr>
            <w:tcW w:type="dxa" w:w="1234"/>
          </w:tcPr>
          <w:p>
            <w:r>
              <w:rPr>
                <w:rFonts w:ascii="Calibri" w:hAnsi="Calibri"/>
                <w:sz w:val="22"/>
              </w:rPr>
              <w:t>5.0%</w:t>
            </w:r>
          </w:p>
        </w:tc>
        <w:tc>
          <w:tcPr>
            <w:tcW w:type="dxa" w:w="1234"/>
          </w:tcPr>
          <w:p>
            <w:r>
              <w:rPr>
                <w:rFonts w:ascii="Calibri" w:hAnsi="Calibri"/>
                <w:sz w:val="22"/>
              </w:rPr>
              <w:t>~1.0%</w:t>
            </w:r>
          </w:p>
        </w:tc>
        <w:tc>
          <w:tcPr>
            <w:tcW w:type="dxa" w:w="1234"/>
          </w:tcPr>
          <w:p>
            <w:r>
              <w:rPr>
                <w:rFonts w:ascii="Calibri" w:hAnsi="Calibri"/>
                <w:sz w:val="22"/>
              </w:rPr>
              <w:t>-400 bps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Adj. Operating Margin (%)</w:t>
            </w:r>
          </w:p>
        </w:tc>
        <w:tc>
          <w:tcPr>
            <w:tcW w:type="dxa" w:w="1234"/>
          </w:tcPr>
          <w:p>
            <w:r>
              <w:rPr>
                <w:rFonts w:ascii="Calibri" w:hAnsi="Calibri"/>
                <w:sz w:val="22"/>
              </w:rPr>
              <w:t>17.6%</w:t>
            </w:r>
          </w:p>
        </w:tc>
        <w:tc>
          <w:tcPr>
            <w:tcW w:type="dxa" w:w="1234"/>
          </w:tcPr>
          <w:p>
            <w:r>
              <w:rPr>
                <w:rFonts w:ascii="Calibri" w:hAnsi="Calibri"/>
                <w:sz w:val="22"/>
              </w:rPr>
              <w:t>17.1%</w:t>
            </w:r>
          </w:p>
        </w:tc>
        <w:tc>
          <w:tcPr>
            <w:tcW w:type="dxa" w:w="1234"/>
          </w:tcPr>
          <w:p>
            <w:r>
              <w:rPr>
                <w:rFonts w:ascii="Calibri" w:hAnsi="Calibri"/>
                <w:sz w:val="22"/>
              </w:rPr>
              <w:t>~16.8%</w:t>
            </w:r>
          </w:p>
        </w:tc>
        <w:tc>
          <w:tcPr>
            <w:tcW w:type="dxa" w:w="1234"/>
          </w:tcPr>
          <w:p>
            <w:r>
              <w:rPr>
                <w:rFonts w:ascii="Calibri" w:hAnsi="Calibri"/>
                <w:sz w:val="22"/>
              </w:rPr>
              <w:t>-30 bps YoY</w:t>
            </w:r>
          </w:p>
        </w:tc>
        <w:tc>
          <w:tcPr>
            <w:tcW w:type="dxa" w:w="1234"/>
          </w:tcPr>
          <w:p>
            <w:r>
              <w:rPr>
                <w:rFonts w:ascii="Calibri" w:hAnsi="Calibri"/>
                <w:sz w:val="22"/>
              </w:rPr>
              <w:t>FY: +70–80 bps expansion</w:t>
            </w:r>
          </w:p>
        </w:tc>
        <w:tc>
          <w:tcPr>
            <w:tcW w:type="dxa" w:w="1234"/>
          </w:tcPr>
          <w:p>
            <w:r>
              <w:rPr>
                <w:rFonts w:ascii="Calibri" w:hAnsi="Calibri"/>
                <w:sz w:val="22"/>
              </w:rPr>
              <w:t>Below FY trajectory (Q2 soft patch)</w:t>
            </w:r>
          </w:p>
        </w:tc>
      </w:tr>
      <w:tr>
        <w:tc>
          <w:tcPr>
            <w:tcW w:type="dxa" w:w="1234"/>
          </w:tcPr>
          <w:p>
            <w:r>
              <w:rPr>
                <w:rFonts w:ascii="Calibri" w:hAnsi="Calibri"/>
                <w:sz w:val="22"/>
              </w:rPr>
              <w:t>Adj. EPS – Excl. Disc. Ops ($)</w:t>
            </w:r>
          </w:p>
        </w:tc>
        <w:tc>
          <w:tcPr>
            <w:tcW w:type="dxa" w:w="1234"/>
          </w:tcPr>
          <w:p>
            <w:r>
              <w:rPr>
                <w:rFonts w:ascii="Calibri" w:hAnsi="Calibri"/>
                <w:sz w:val="22"/>
              </w:rPr>
              <w:t>$1.60</w:t>
            </w:r>
          </w:p>
        </w:tc>
        <w:tc>
          <w:tcPr>
            <w:tcW w:type="dxa" w:w="1234"/>
          </w:tcPr>
          <w:p>
            <w:r>
              <w:rPr>
                <w:rFonts w:ascii="Calibri" w:hAnsi="Calibri"/>
                <w:sz w:val="22"/>
              </w:rPr>
              <w:t>$1.63</w:t>
            </w:r>
          </w:p>
        </w:tc>
        <w:tc>
          <w:tcPr>
            <w:tcW w:type="dxa" w:w="1234"/>
          </w:tcPr>
          <w:p>
            <w:r>
              <w:rPr>
                <w:rFonts w:ascii="Calibri" w:hAnsi="Calibri"/>
                <w:sz w:val="22"/>
              </w:rPr>
              <w:t>$1.62</w:t>
            </w:r>
          </w:p>
        </w:tc>
        <w:tc>
          <w:tcPr>
            <w:tcW w:type="dxa" w:w="1234"/>
          </w:tcPr>
          <w:p>
            <w:r>
              <w:rPr>
                <w:rFonts w:ascii="Calibri" w:hAnsi="Calibri"/>
                <w:sz w:val="22"/>
              </w:rPr>
              <w:t>-0.6% YoY</w:t>
            </w:r>
          </w:p>
        </w:tc>
        <w:tc>
          <w:tcPr>
            <w:tcW w:type="dxa" w:w="1234"/>
          </w:tcPr>
          <w:p>
            <w:r>
              <w:rPr>
                <w:rFonts w:ascii="Calibri" w:hAnsi="Calibri"/>
                <w:sz w:val="22"/>
              </w:rPr>
              <w:t>FY: double-digit growth (cont. ops)</w:t>
            </w:r>
          </w:p>
        </w:tc>
        <w:tc>
          <w:tcPr>
            <w:tcW w:type="dxa" w:w="1234"/>
          </w:tcPr>
          <w:p>
            <w:r>
              <w:rPr>
                <w:rFonts w:ascii="Calibri" w:hAnsi="Calibri"/>
                <w:sz w:val="22"/>
              </w:rPr>
              <w:t>In line with FY trajectory</w:t>
            </w:r>
          </w:p>
        </w:tc>
      </w:tr>
    </w:tbl>
    <w:p>
      <w:r>
        <w:rPr>
          <w:rFonts w:ascii="Calibri" w:hAnsi="Calibri"/>
          <w:i/>
          <w:color w:val="525866"/>
          <w:sz w:val="22"/>
        </w:rPr>
        <w:t>Source: Visible Alpha Consensus and Actuals Data. Net Sales, Organic Sales Growth, Volume + Mix, Operating Margin, and Adj. EPS sourced from Visible Alpha (https://insights.visiblealpha.com/mex/KMB/NMV/IS and /RI and /RV). Q2 2026 consensus as of August 3, 2026. Prior year actuals are reported figures.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Sales</w:t>
            </w:r>
          </w:p>
        </w:tc>
        <w:tc>
          <w:tcPr>
            <w:tcW w:type="dxa" w:w="1440"/>
          </w:tcPr>
          <w:p>
            <w:r>
              <w:rPr>
                <w:rFonts w:ascii="Calibri" w:hAnsi="Calibri"/>
                <w:sz w:val="22"/>
              </w:rPr>
              <w:t>2.5%</w:t>
            </w:r>
          </w:p>
        </w:tc>
        <w:tc>
          <w:tcPr>
            <w:tcW w:type="dxa" w:w="1440"/>
          </w:tcPr>
          <w:p>
            <w:r>
              <w:rPr>
                <w:rFonts w:ascii="Calibri" w:hAnsi="Calibri"/>
                <w:sz w:val="22"/>
              </w:rPr>
              <w:t>1.9%</w:t>
            </w:r>
          </w:p>
        </w:tc>
        <w:tc>
          <w:tcPr>
            <w:tcW w:type="dxa" w:w="1440"/>
          </w:tcPr>
          <w:p>
            <w:r>
              <w:rPr>
                <w:rFonts w:ascii="Calibri" w:hAnsi="Calibri"/>
                <w:sz w:val="22"/>
              </w:rPr>
              <w:t>+60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 (excl. disc. ops)</w:t>
            </w:r>
          </w:p>
        </w:tc>
        <w:tc>
          <w:tcPr>
            <w:tcW w:type="dxa" w:w="1440"/>
          </w:tcPr>
          <w:p>
            <w:r>
              <w:rPr>
                <w:rFonts w:ascii="Calibri" w:hAnsi="Calibri"/>
                <w:sz w:val="22"/>
              </w:rPr>
              <w:t>$1.60</w:t>
            </w:r>
          </w:p>
        </w:tc>
        <w:tc>
          <w:tcPr>
            <w:tcW w:type="dxa" w:w="1440"/>
          </w:tcPr>
          <w:p>
            <w:r>
              <w:rPr>
                <w:rFonts w:ascii="Calibri" w:hAnsi="Calibri"/>
                <w:sz w:val="22"/>
              </w:rPr>
              <w:t>$1.54</w:t>
            </w:r>
          </w:p>
        </w:tc>
        <w:tc>
          <w:tcPr>
            <w:tcW w:type="dxa" w:w="1440"/>
          </w:tcPr>
          <w:p>
            <w:r>
              <w:rPr>
                <w:rFonts w:ascii="Calibri" w:hAnsi="Calibri"/>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Sales</w:t>
            </w:r>
          </w:p>
        </w:tc>
        <w:tc>
          <w:tcPr>
            <w:tcW w:type="dxa" w:w="1440"/>
          </w:tcPr>
          <w:p>
            <w:r>
              <w:rPr>
                <w:rFonts w:ascii="Calibri" w:hAnsi="Calibri"/>
                <w:sz w:val="22"/>
              </w:rPr>
              <w:t>2.1%</w:t>
            </w:r>
          </w:p>
        </w:tc>
        <w:tc>
          <w:tcPr>
            <w:tcW w:type="dxa" w:w="1440"/>
          </w:tcPr>
          <w:p>
            <w:r>
              <w:rPr>
                <w:rFonts w:ascii="Calibri" w:hAnsi="Calibri"/>
                <w:sz w:val="22"/>
              </w:rPr>
              <w:t>2.1%</w:t>
            </w:r>
          </w:p>
        </w:tc>
        <w:tc>
          <w:tcPr>
            <w:tcW w:type="dxa" w:w="1440"/>
          </w:tcPr>
          <w:p>
            <w:r>
              <w:rPr>
                <w:rFonts w:ascii="Calibri" w:hAnsi="Calibri"/>
                <w:sz w:val="22"/>
              </w:rPr>
              <w:t>0 bps</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Adj. EPS (excl. disc. ops)</w:t>
            </w:r>
          </w:p>
        </w:tc>
        <w:tc>
          <w:tcPr>
            <w:tcW w:type="dxa" w:w="1440"/>
          </w:tcPr>
          <w:p>
            <w:r>
              <w:rPr>
                <w:rFonts w:ascii="Calibri" w:hAnsi="Calibri"/>
                <w:sz w:val="22"/>
              </w:rPr>
              <w:t>$1.43</w:t>
            </w:r>
          </w:p>
        </w:tc>
        <w:tc>
          <w:tcPr>
            <w:tcW w:type="dxa" w:w="1440"/>
          </w:tcPr>
          <w:p>
            <w:r>
              <w:rPr>
                <w:rFonts w:ascii="Calibri" w:hAnsi="Calibri"/>
                <w:sz w:val="22"/>
              </w:rPr>
              <w:t>$1.41</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Sales</w:t>
            </w:r>
          </w:p>
        </w:tc>
        <w:tc>
          <w:tcPr>
            <w:tcW w:type="dxa" w:w="1440"/>
          </w:tcPr>
          <w:p>
            <w:r>
              <w:rPr>
                <w:rFonts w:ascii="Calibri" w:hAnsi="Calibri"/>
                <w:sz w:val="22"/>
              </w:rPr>
              <w:t>2.5%</w:t>
            </w:r>
          </w:p>
        </w:tc>
        <w:tc>
          <w:tcPr>
            <w:tcW w:type="dxa" w:w="1440"/>
          </w:tcPr>
          <w:p>
            <w:r>
              <w:rPr>
                <w:rFonts w:ascii="Calibri" w:hAnsi="Calibri"/>
                <w:sz w:val="22"/>
              </w:rPr>
              <w:t>1.6%</w:t>
            </w:r>
          </w:p>
        </w:tc>
        <w:tc>
          <w:tcPr>
            <w:tcW w:type="dxa" w:w="1440"/>
          </w:tcPr>
          <w:p>
            <w:r>
              <w:rPr>
                <w:rFonts w:ascii="Calibri" w:hAnsi="Calibri"/>
                <w:sz w:val="22"/>
              </w:rPr>
              <w:t>+90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 (excl. disc. ops)</w:t>
            </w:r>
          </w:p>
        </w:tc>
        <w:tc>
          <w:tcPr>
            <w:tcW w:type="dxa" w:w="1440"/>
          </w:tcPr>
          <w:p>
            <w:r>
              <w:rPr>
                <w:rFonts w:ascii="Calibri" w:hAnsi="Calibri"/>
                <w:sz w:val="22"/>
              </w:rPr>
              <w:t>$1.45</w:t>
            </w:r>
          </w:p>
        </w:tc>
        <w:tc>
          <w:tcPr>
            <w:tcW w:type="dxa" w:w="1440"/>
          </w:tcPr>
          <w:p>
            <w:r>
              <w:rPr>
                <w:rFonts w:ascii="Calibri" w:hAnsi="Calibri"/>
                <w:sz w:val="22"/>
              </w:rPr>
              <w:t>$1.40</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Sales</w:t>
            </w:r>
          </w:p>
        </w:tc>
        <w:tc>
          <w:tcPr>
            <w:tcW w:type="dxa" w:w="1440"/>
          </w:tcPr>
          <w:p>
            <w:r>
              <w:rPr>
                <w:rFonts w:ascii="Calibri" w:hAnsi="Calibri"/>
                <w:sz w:val="22"/>
              </w:rPr>
              <w:t>3.9%</w:t>
            </w:r>
          </w:p>
        </w:tc>
        <w:tc>
          <w:tcPr>
            <w:tcW w:type="dxa" w:w="1440"/>
          </w:tcPr>
          <w:p>
            <w:r>
              <w:rPr>
                <w:rFonts w:ascii="Calibri" w:hAnsi="Calibri"/>
                <w:sz w:val="22"/>
              </w:rPr>
              <w:t>1.5%</w:t>
            </w:r>
          </w:p>
        </w:tc>
        <w:tc>
          <w:tcPr>
            <w:tcW w:type="dxa" w:w="1440"/>
          </w:tcPr>
          <w:p>
            <w:r>
              <w:rPr>
                <w:rFonts w:ascii="Calibri" w:hAnsi="Calibri"/>
                <w:sz w:val="22"/>
              </w:rPr>
              <w:t>+240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 (excl. disc. ops)</w:t>
            </w:r>
          </w:p>
        </w:tc>
        <w:tc>
          <w:tcPr>
            <w:tcW w:type="dxa" w:w="1440"/>
          </w:tcPr>
          <w:p>
            <w:r>
              <w:rPr>
                <w:rFonts w:ascii="Calibri" w:hAnsi="Calibri"/>
                <w:sz w:val="22"/>
              </w:rPr>
              <w:t>$1.63</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Organic Sales</w:t>
            </w:r>
          </w:p>
        </w:tc>
        <w:tc>
          <w:tcPr>
            <w:tcW w:type="dxa" w:w="1440"/>
          </w:tcPr>
          <w:p>
            <w:r>
              <w:rPr>
                <w:rFonts w:ascii="Calibri" w:hAnsi="Calibri"/>
                <w:sz w:val="22"/>
              </w:rPr>
              <w:t>-1.4%</w:t>
            </w:r>
          </w:p>
        </w:tc>
        <w:tc>
          <w:tcPr>
            <w:tcW w:type="dxa" w:w="1440"/>
          </w:tcPr>
          <w:p>
            <w:r>
              <w:rPr>
                <w:rFonts w:ascii="Calibri" w:hAnsi="Calibri"/>
                <w:sz w:val="22"/>
              </w:rPr>
              <w:t>0.7%</w:t>
            </w:r>
          </w:p>
        </w:tc>
        <w:tc>
          <w:tcPr>
            <w:tcW w:type="dxa" w:w="1440"/>
          </w:tcPr>
          <w:p>
            <w:r>
              <w:rPr>
                <w:rFonts w:ascii="Calibri" w:hAnsi="Calibri"/>
                <w:sz w:val="22"/>
              </w:rPr>
              <w:t>-210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 (excl. disc. ops)</w:t>
            </w:r>
          </w:p>
        </w:tc>
        <w:tc>
          <w:tcPr>
            <w:tcW w:type="dxa" w:w="1440"/>
          </w:tcPr>
          <w:p>
            <w:r>
              <w:rPr>
                <w:rFonts w:ascii="Calibri" w:hAnsi="Calibri"/>
                <w:sz w:val="22"/>
              </w:rPr>
              <w:t>$1.62</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Organic Sales</w:t>
            </w:r>
          </w:p>
        </w:tc>
        <w:tc>
          <w:tcPr>
            <w:tcW w:type="dxa" w:w="1440"/>
          </w:tcPr>
          <w:p>
            <w:r>
              <w:rPr>
                <w:rFonts w:ascii="Calibri" w:hAnsi="Calibri"/>
                <w:sz w:val="22"/>
              </w:rPr>
              <w:t>2.5%</w:t>
            </w:r>
          </w:p>
        </w:tc>
        <w:tc>
          <w:tcPr>
            <w:tcW w:type="dxa" w:w="1440"/>
          </w:tcPr>
          <w:p>
            <w:r>
              <w:rPr>
                <w:rFonts w:ascii="Calibri" w:hAnsi="Calibri"/>
                <w:sz w:val="22"/>
              </w:rPr>
              <w:t>2.1%</w:t>
            </w:r>
          </w:p>
        </w:tc>
        <w:tc>
          <w:tcPr>
            <w:tcW w:type="dxa" w:w="1440"/>
          </w:tcPr>
          <w:p>
            <w:r>
              <w:rPr>
                <w:rFonts w:ascii="Calibri" w:hAnsi="Calibri"/>
                <w:sz w:val="22"/>
              </w:rPr>
              <w:t>+40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 (excl. disc. ops)</w:t>
            </w:r>
          </w:p>
        </w:tc>
        <w:tc>
          <w:tcPr>
            <w:tcW w:type="dxa" w:w="1440"/>
          </w:tcPr>
          <w:p>
            <w:r>
              <w:rPr>
                <w:rFonts w:ascii="Calibri" w:hAnsi="Calibri"/>
                <w:sz w:val="22"/>
              </w:rPr>
              <w:t>$1.19</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Organic Sales</w:t>
            </w:r>
          </w:p>
        </w:tc>
        <w:tc>
          <w:tcPr>
            <w:tcW w:type="dxa" w:w="1440"/>
          </w:tcPr>
          <w:p>
            <w:r>
              <w:rPr>
                <w:rFonts w:ascii="Calibri" w:hAnsi="Calibri"/>
                <w:sz w:val="22"/>
              </w:rPr>
              <w:t>1.5%</w:t>
            </w:r>
          </w:p>
        </w:tc>
        <w:tc>
          <w:tcPr>
            <w:tcW w:type="dxa" w:w="1440"/>
          </w:tcPr>
          <w:p>
            <w:r>
              <w:rPr>
                <w:rFonts w:ascii="Calibri" w:hAnsi="Calibri"/>
                <w:sz w:val="22"/>
              </w:rPr>
              <w:t>3.5%</w:t>
            </w:r>
          </w:p>
        </w:tc>
        <w:tc>
          <w:tcPr>
            <w:tcW w:type="dxa" w:w="1440"/>
          </w:tcPr>
          <w:p>
            <w:r>
              <w:rPr>
                <w:rFonts w:ascii="Calibri" w:hAnsi="Calibri"/>
                <w:sz w:val="22"/>
              </w:rPr>
              <w:t>-200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 (excl. disc. ops)</w:t>
            </w:r>
          </w:p>
        </w:tc>
        <w:tc>
          <w:tcPr>
            <w:tcW w:type="dxa" w:w="1440"/>
          </w:tcPr>
          <w:p>
            <w:r>
              <w:rPr>
                <w:rFonts w:ascii="Calibri" w:hAnsi="Calibri"/>
                <w:sz w:val="22"/>
              </w:rPr>
              <w:t>$1.56</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KMB has beaten organic sales consensus in 5 of the last 6 quarters where data is available, with the lone miss in Q1 2025 driven by a portfolio restructuring impact; the consistent pattern of setting a low bar and outperforming on volume/mix is a structural feature of management's guidance philosophy.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the Q1 call</w:t>
      </w:r>
      <w:r>
        <w:rPr>
          <w:rFonts w:ascii="Calibri" w:hAnsi="Calibri"/>
          <w:color w:val="525866"/>
          <w:sz w:val="22"/>
        </w:rPr>
        <w:t xml:space="preserve"> — management reaffirmed the full-year framework but deliberately left the potential $150–170M H2 input cost headwind outside the outlook, creating a </w:t>
      </w:r>
      <w:r>
        <w:rPr>
          <w:rFonts w:ascii="Calibri" w:hAnsi="Calibri"/>
          <w:b/>
          <w:color w:val="E5484D"/>
          <w:sz w:val="22"/>
        </w:rPr>
        <w:t>meaningful unresolved risk</w:t>
      </w:r>
      <w:r>
        <w:rPr>
          <w:rFonts w:ascii="Calibri" w:hAnsi="Calibri"/>
          <w:color w:val="525866"/>
          <w:sz w:val="22"/>
        </w:rPr>
        <w:t xml:space="preserve"> that the Q2 call must address.</w:t>
      </w:r>
    </w:p>
    <w:p>
      <w:r>
        <w:rPr>
          <w:rFonts w:ascii="Calibri" w:hAnsi="Calibri"/>
          <w:color w:val="525866"/>
          <w:sz w:val="22"/>
        </w:rPr>
        <w:t>The baseline for all guidance is the Q1 2026 earnings call (April 28, 2026). No post-earnings 8-K, investor day, or conference has revised the numerical guidance. The Deutsche Bank dbAccess Global Consumer Conference (June 4, 2026) was attended by CEO Mike Hsu and CFO Nelson Urdaneta but was used to elaborate on the Kenvue acquisition thesis rather than update financial guidance. The departure of Principal Accounting Officer Andrew Scribner (effective May 22, 2026) was disclosed via 8-K on May 5, 2026; CFO Urdaneta assumed the interim PAO role with no guidance change.</w:t>
      </w:r>
    </w:p>
    <w:p>
      <w:pPr>
        <w:pStyle w:val="Heading3"/>
      </w:pPr>
      <w:r>
        <w:rPr>
          <w:rFonts w:ascii="Calibri" w:hAnsi="Calibri"/>
          <w:b/>
          <w:color w:val="3B4259"/>
          <w:sz w:val="24"/>
        </w:rPr>
        <w:t>Table 3 — Guidance &amp; Commentary Evolution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Organic Sales Growth</w:t>
            </w:r>
          </w:p>
        </w:tc>
        <w:tc>
          <w:tcPr>
            <w:tcW w:type="dxa" w:w="1728"/>
          </w:tcPr>
          <w:p>
            <w:r>
              <w:rPr>
                <w:rFonts w:ascii="Calibri" w:hAnsi="Calibri"/>
                <w:sz w:val="22"/>
              </w:rPr>
              <w:t>In line to ahead of ~2.5% category growth</w:t>
            </w:r>
          </w:p>
        </w:tc>
        <w:tc>
          <w:tcPr>
            <w:tcW w:type="dxa" w:w="1728"/>
          </w:tcPr>
          <w:p>
            <w:r>
              <w:rPr>
                <w:rFonts w:ascii="Calibri" w:hAnsi="Calibri"/>
                <w:sz w:val="22"/>
              </w:rPr>
              <w:t>—</w:t>
            </w:r>
          </w:p>
        </w:tc>
        <w:tc>
          <w:tcPr>
            <w:tcW w:type="dxa" w:w="1728"/>
          </w:tcPr>
          <w:p>
            <w:r>
              <w:rPr>
                <w:rFonts w:ascii="Calibri" w:hAnsi="Calibri"/>
                <w:sz w:val="22"/>
              </w:rPr>
              <w:t>~2.5% (FY)</w:t>
            </w:r>
          </w:p>
        </w:tc>
        <w:tc>
          <w:tcPr>
            <w:tcW w:type="dxa" w:w="1728"/>
          </w:tcPr>
          <w:p>
            <w:r>
              <w:rPr>
                <w:rFonts w:ascii="Calibri" w:hAnsi="Calibri"/>
                <w:sz w:val="22"/>
              </w:rPr>
              <w:t>Unchanged; no post-earnings update</w:t>
            </w:r>
          </w:p>
        </w:tc>
      </w:tr>
      <w:tr>
        <w:tc>
          <w:tcPr>
            <w:tcW w:type="dxa" w:w="1728"/>
          </w:tcPr>
          <w:p>
            <w:r>
              <w:rPr>
                <w:rFonts w:ascii="Calibri" w:hAnsi="Calibri"/>
                <w:sz w:val="22"/>
              </w:rPr>
              <w:t>FY Adj. Operating Profit Growth</w:t>
            </w:r>
          </w:p>
        </w:tc>
        <w:tc>
          <w:tcPr>
            <w:tcW w:type="dxa" w:w="1728"/>
          </w:tcPr>
          <w:p>
            <w:r>
              <w:rPr>
                <w:rFonts w:ascii="Calibri" w:hAnsi="Calibri"/>
                <w:sz w:val="22"/>
              </w:rPr>
              <w:t>Mid-to-high single-digit growth (constant currency)</w:t>
            </w:r>
          </w:p>
        </w:tc>
        <w:tc>
          <w:tcPr>
            <w:tcW w:type="dxa" w:w="1728"/>
          </w:tcPr>
          <w:p>
            <w:r>
              <w:rPr>
                <w:rFonts w:ascii="Calibri" w:hAnsi="Calibri"/>
                <w:sz w:val="22"/>
              </w:rPr>
              <w:t>—</w:t>
            </w:r>
          </w:p>
        </w:tc>
        <w:tc>
          <w:tcPr>
            <w:tcW w:type="dxa" w:w="1728"/>
          </w:tcPr>
          <w:p>
            <w:r>
              <w:rPr>
                <w:rFonts w:ascii="Calibri" w:hAnsi="Calibri"/>
                <w:sz w:val="22"/>
              </w:rPr>
              <w:t>~$2.92B (FY)</w:t>
            </w:r>
          </w:p>
        </w:tc>
        <w:tc>
          <w:tcPr>
            <w:tcW w:type="dxa" w:w="1728"/>
          </w:tcPr>
          <w:p>
            <w:r>
              <w:rPr>
                <w:rFonts w:ascii="Calibri" w:hAnsi="Calibri"/>
                <w:sz w:val="22"/>
              </w:rPr>
              <w:t>Unchanged; consensus tracking guidance</w:t>
            </w:r>
          </w:p>
        </w:tc>
      </w:tr>
      <w:tr>
        <w:tc>
          <w:tcPr>
            <w:tcW w:type="dxa" w:w="1728"/>
          </w:tcPr>
          <w:p>
            <w:r>
              <w:rPr>
                <w:rFonts w:ascii="Calibri" w:hAnsi="Calibri"/>
                <w:sz w:val="22"/>
              </w:rPr>
              <w:t>FY Adj. EPS (Continuing Ops)</w:t>
            </w:r>
          </w:p>
        </w:tc>
        <w:tc>
          <w:tcPr>
            <w:tcW w:type="dxa" w:w="1728"/>
          </w:tcPr>
          <w:p>
            <w:r>
              <w:rPr>
                <w:rFonts w:ascii="Calibri" w:hAnsi="Calibri"/>
                <w:sz w:val="22"/>
              </w:rPr>
              <w:t>Double-digit growth (constant currency)</w:t>
            </w:r>
          </w:p>
        </w:tc>
        <w:tc>
          <w:tcPr>
            <w:tcW w:type="dxa" w:w="1728"/>
          </w:tcPr>
          <w:p>
            <w:r>
              <w:rPr>
                <w:rFonts w:ascii="Calibri" w:hAnsi="Calibri"/>
                <w:sz w:val="22"/>
              </w:rPr>
              <w:t>—</w:t>
            </w:r>
          </w:p>
        </w:tc>
        <w:tc>
          <w:tcPr>
            <w:tcW w:type="dxa" w:w="1728"/>
          </w:tcPr>
          <w:p>
            <w:r>
              <w:rPr>
                <w:rFonts w:ascii="Calibri" w:hAnsi="Calibri"/>
                <w:sz w:val="22"/>
              </w:rPr>
              <w:t>~$6.76 (FY)</w:t>
            </w:r>
          </w:p>
        </w:tc>
        <w:tc>
          <w:tcPr>
            <w:tcW w:type="dxa" w:w="1728"/>
          </w:tcPr>
          <w:p>
            <w:r>
              <w:rPr>
                <w:rFonts w:ascii="Calibri" w:hAnsi="Calibri"/>
                <w:sz w:val="22"/>
              </w:rPr>
              <w:t>Unchanged; consensus implies ~9% growth</w:t>
            </w:r>
          </w:p>
        </w:tc>
      </w:tr>
      <w:tr>
        <w:tc>
          <w:tcPr>
            <w:tcW w:type="dxa" w:w="1728"/>
          </w:tcPr>
          <w:p>
            <w:r>
              <w:rPr>
                <w:rFonts w:ascii="Calibri" w:hAnsi="Calibri"/>
                <w:sz w:val="22"/>
              </w:rPr>
              <w:t>FY Gross/Op. Margin Expansion</w:t>
            </w:r>
          </w:p>
        </w:tc>
        <w:tc>
          <w:tcPr>
            <w:tcW w:type="dxa" w:w="1728"/>
          </w:tcPr>
          <w:p>
            <w:r>
              <w:rPr>
                <w:rFonts w:ascii="Calibri" w:hAnsi="Calibri"/>
                <w:sz w:val="22"/>
              </w:rPr>
              <w:t>+70–80 bps (both gross and operating margin)</w:t>
            </w:r>
          </w:p>
        </w:tc>
        <w:tc>
          <w:tcPr>
            <w:tcW w:type="dxa" w:w="1728"/>
          </w:tcPr>
          <w:p>
            <w:r>
              <w:rPr>
                <w:rFonts w:ascii="Calibri" w:hAnsi="Calibri"/>
                <w:sz w:val="22"/>
              </w:rPr>
              <w:t>—</w:t>
            </w:r>
          </w:p>
        </w:tc>
        <w:tc>
          <w:tcPr>
            <w:tcW w:type="dxa" w:w="1728"/>
          </w:tcPr>
          <w:p>
            <w:r>
              <w:rPr>
                <w:rFonts w:ascii="Calibri" w:hAnsi="Calibri"/>
                <w:sz w:val="22"/>
              </w:rPr>
              <w:t>~17.4% op. margin (FY)</w:t>
            </w:r>
          </w:p>
        </w:tc>
        <w:tc>
          <w:tcPr>
            <w:tcW w:type="dxa" w:w="1728"/>
          </w:tcPr>
          <w:p>
            <w:r>
              <w:rPr>
                <w:rFonts w:ascii="Calibri" w:hAnsi="Calibri"/>
                <w:sz w:val="22"/>
              </w:rPr>
              <w:t>Unchanged; Q2 expected to be soft patch before H2 pickup</w:t>
            </w:r>
          </w:p>
        </w:tc>
      </w:tr>
      <w:tr>
        <w:tc>
          <w:tcPr>
            <w:tcW w:type="dxa" w:w="1728"/>
          </w:tcPr>
          <w:p>
            <w:r>
              <w:rPr>
                <w:rFonts w:ascii="Calibri" w:hAnsi="Calibri"/>
                <w:sz w:val="22"/>
              </w:rPr>
              <w:t>Q2 Organic Sales</w:t>
            </w:r>
          </w:p>
        </w:tc>
        <w:tc>
          <w:tcPr>
            <w:tcW w:type="dxa" w:w="1728"/>
          </w:tcPr>
          <w:p>
            <w:r>
              <w:rPr>
                <w:rFonts w:ascii="Calibri" w:hAnsi="Calibri"/>
                <w:sz w:val="22"/>
              </w:rPr>
              <w:t>"Slightly below Q1" (~2%); $20M DC fire headwind</w:t>
            </w:r>
          </w:p>
        </w:tc>
        <w:tc>
          <w:tcPr>
            <w:tcW w:type="dxa" w:w="1728"/>
          </w:tcPr>
          <w:p>
            <w:r>
              <w:rPr>
                <w:rFonts w:ascii="Calibri" w:hAnsi="Calibri"/>
                <w:sz w:val="22"/>
              </w:rPr>
              <w:t>—</w:t>
            </w:r>
          </w:p>
        </w:tc>
        <w:tc>
          <w:tcPr>
            <w:tcW w:type="dxa" w:w="1728"/>
          </w:tcPr>
          <w:p>
            <w:r>
              <w:rPr>
                <w:rFonts w:ascii="Calibri" w:hAnsi="Calibri"/>
                <w:sz w:val="22"/>
              </w:rPr>
              <w:t>~1.2%</w:t>
            </w:r>
          </w:p>
        </w:tc>
        <w:tc>
          <w:tcPr>
            <w:tcW w:type="dxa" w:w="1728"/>
          </w:tcPr>
          <w:p>
            <w:r>
              <w:rPr>
                <w:rFonts w:ascii="Calibri" w:hAnsi="Calibri"/>
                <w:sz w:val="22"/>
              </w:rPr>
              <w:t>Consensus below guidance midpoint; DC fire + tough comp fully absorbed</w:t>
            </w:r>
          </w:p>
        </w:tc>
      </w:tr>
      <w:tr>
        <w:tc>
          <w:tcPr>
            <w:tcW w:type="dxa" w:w="1728"/>
          </w:tcPr>
          <w:p>
            <w:r>
              <w:rPr>
                <w:rFonts w:ascii="Calibri" w:hAnsi="Calibri"/>
                <w:sz w:val="22"/>
              </w:rPr>
              <w:t>Q2 Bottom-Line Impact</w:t>
            </w:r>
          </w:p>
        </w:tc>
        <w:tc>
          <w:tcPr>
            <w:tcW w:type="dxa" w:w="1728"/>
          </w:tcPr>
          <w:p>
            <w:r>
              <w:rPr>
                <w:rFonts w:ascii="Calibri" w:hAnsi="Calibri"/>
                <w:sz w:val="22"/>
              </w:rPr>
              <w:t>~$50M headwind (Middle East inflation + DC fire); expected to recover in H2</w:t>
            </w:r>
          </w:p>
        </w:tc>
        <w:tc>
          <w:tcPr>
            <w:tcW w:type="dxa" w:w="1728"/>
          </w:tcPr>
          <w:p>
            <w:r>
              <w:rPr>
                <w:rFonts w:ascii="Calibri" w:hAnsi="Calibri"/>
                <w:sz w:val="22"/>
              </w:rPr>
              <w:t>—</w:t>
            </w:r>
          </w:p>
        </w:tc>
        <w:tc>
          <w:tcPr>
            <w:tcW w:type="dxa" w:w="1728"/>
          </w:tcPr>
          <w:p>
            <w:r>
              <w:rPr>
                <w:rFonts w:ascii="Calibri" w:hAnsi="Calibri"/>
                <w:sz w:val="22"/>
              </w:rPr>
              <w:t>Reflected in ~$1.62 EPS est.</w:t>
            </w:r>
          </w:p>
        </w:tc>
        <w:tc>
          <w:tcPr>
            <w:tcW w:type="dxa" w:w="1728"/>
          </w:tcPr>
          <w:p>
            <w:r>
              <w:rPr>
                <w:rFonts w:ascii="Calibri" w:hAnsi="Calibri"/>
                <w:sz w:val="22"/>
              </w:rPr>
              <w:t>Unchanged; key question is whether H2 recovery is still on track</w:t>
            </w:r>
          </w:p>
        </w:tc>
      </w:tr>
      <w:tr>
        <w:tc>
          <w:tcPr>
            <w:tcW w:type="dxa" w:w="1728"/>
          </w:tcPr>
          <w:p>
            <w:r>
              <w:rPr>
                <w:rFonts w:ascii="Calibri" w:hAnsi="Calibri"/>
                <w:sz w:val="22"/>
              </w:rPr>
              <w:t>H2 Input Cost Risk (Unguided)</w:t>
            </w:r>
          </w:p>
        </w:tc>
        <w:tc>
          <w:tcPr>
            <w:tcW w:type="dxa" w:w="1728"/>
          </w:tcPr>
          <w:p>
            <w:r>
              <w:rPr>
                <w:rFonts w:ascii="Calibri" w:hAnsi="Calibri"/>
                <w:sz w:val="22"/>
              </w:rPr>
              <w:t>$150–170M gross incremental cost if oil ~$100/bbl; NOT in guidance</w:t>
            </w:r>
          </w:p>
        </w:tc>
        <w:tc>
          <w:tcPr>
            <w:tcW w:type="dxa" w:w="1728"/>
          </w:tcPr>
          <w:p>
            <w:r>
              <w:rPr>
                <w:rFonts w:ascii="Calibri" w:hAnsi="Calibri"/>
                <w:sz w:val="22"/>
              </w:rPr>
              <w:t>—</w:t>
            </w:r>
          </w:p>
        </w:tc>
        <w:tc>
          <w:tcPr>
            <w:tcW w:type="dxa" w:w="1728"/>
          </w:tcPr>
          <w:p>
            <w:r>
              <w:rPr>
                <w:rFonts w:ascii="Calibri" w:hAnsi="Calibri"/>
                <w:sz w:val="22"/>
              </w:rPr>
              <w:t>Not in consensus</w:t>
            </w:r>
          </w:p>
        </w:tc>
        <w:tc>
          <w:tcPr>
            <w:tcW w:type="dxa" w:w="1728"/>
          </w:tcPr>
          <w:p>
            <w:r>
              <w:rPr>
                <w:rFonts w:ascii="Calibri" w:hAnsi="Calibri"/>
                <w:sz w:val="22"/>
              </w:rPr>
              <w:t>Biggest unresolved risk; Q2 call must address mitigation progress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Q1 print — organic sales consensus ticked down slightly (reflecting the DC fire and tough comp), while EPS estimates are essentially flat, suggesting the street has fully priced in the known Q2 headwinds and is waiting for the H2 input cost update.</w:t>
      </w:r>
    </w:p>
    <w:p>
      <w:pPr>
        <w:pStyle w:val="Heading3"/>
      </w:pPr>
      <w:r>
        <w:rPr>
          <w:rFonts w:ascii="Calibri" w:hAnsi="Calibri"/>
          <w:b/>
          <w:color w:val="3B4259"/>
          <w:sz w:val="24"/>
        </w:rPr>
        <w:t>Table 4 — Estimate Revision Tracker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(May 5,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Organic Sales — Q2 2026</w:t>
            </w:r>
          </w:p>
        </w:tc>
        <w:tc>
          <w:tcPr>
            <w:tcW w:type="dxa" w:w="1080"/>
          </w:tcPr>
          <w:p>
            <w:r>
              <w:rPr>
                <w:rFonts w:ascii="Calibri" w:hAnsi="Calibri"/>
                <w:sz w:val="22"/>
              </w:rPr>
              <w:t>~1.8%</w:t>
            </w:r>
          </w:p>
        </w:tc>
        <w:tc>
          <w:tcPr>
            <w:tcW w:type="dxa" w:w="1080"/>
          </w:tcPr>
          <w:p>
            <w:r>
              <w:rPr>
                <w:rFonts w:ascii="Calibri" w:hAnsi="Calibri"/>
                <w:sz w:val="22"/>
              </w:rPr>
              <w:t>~1.2%</w:t>
            </w:r>
          </w:p>
        </w:tc>
        <w:tc>
          <w:tcPr>
            <w:tcW w:type="dxa" w:w="1080"/>
          </w:tcPr>
          <w:p>
            <w:r>
              <w:rPr>
                <w:rFonts w:ascii="Calibri" w:hAnsi="Calibri"/>
                <w:sz w:val="22"/>
              </w:rPr>
              <w:t>-60 bps</w:t>
            </w:r>
          </w:p>
        </w:tc>
        <w:tc>
          <w:tcPr>
            <w:tcW w:type="dxa" w:w="1080"/>
          </w:tcPr>
          <w:p>
            <w:r>
              <w:rPr>
                <w:rFonts w:ascii="Calibri" w:hAnsi="Calibri"/>
                <w:sz w:val="22"/>
              </w:rPr>
              <w:t>"Slightly below Q1" (~2%)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~-80 bps below guidance</w:t>
            </w:r>
          </w:p>
        </w:tc>
      </w:tr>
      <w:tr>
        <w:tc>
          <w:tcPr>
            <w:tcW w:type="dxa" w:w="1080"/>
          </w:tcPr>
          <w:p>
            <w:r>
              <w:rPr>
                <w:rFonts w:ascii="Calibri" w:hAnsi="Calibri"/>
                <w:sz w:val="22"/>
              </w:rPr>
              <w:t>Net Sales — Q2 2026</w:t>
            </w:r>
          </w:p>
        </w:tc>
        <w:tc>
          <w:tcPr>
            <w:tcW w:type="dxa" w:w="1080"/>
          </w:tcPr>
          <w:p>
            <w:r>
              <w:rPr>
                <w:rFonts w:ascii="Calibri" w:hAnsi="Calibri"/>
                <w:sz w:val="22"/>
              </w:rPr>
              <w:t>$4.248B</w:t>
            </w:r>
          </w:p>
        </w:tc>
        <w:tc>
          <w:tcPr>
            <w:tcW w:type="dxa" w:w="1080"/>
          </w:tcPr>
          <w:p>
            <w:r>
              <w:rPr>
                <w:rFonts w:ascii="Calibri" w:hAnsi="Calibri"/>
                <w:sz w:val="22"/>
              </w:rPr>
              <w:t>$4.224B</w:t>
            </w:r>
          </w:p>
        </w:tc>
        <w:tc>
          <w:tcPr>
            <w:tcW w:type="dxa" w:w="1080"/>
          </w:tcPr>
          <w:p>
            <w:r>
              <w:rPr>
                <w:rFonts w:ascii="Calibri" w:hAnsi="Calibri"/>
                <w:sz w:val="22"/>
              </w:rPr>
              <w:t>-0.6%</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(excl. disc. ops) — Q2 2026</w:t>
            </w:r>
          </w:p>
        </w:tc>
        <w:tc>
          <w:tcPr>
            <w:tcW w:type="dxa" w:w="1080"/>
          </w:tcPr>
          <w:p>
            <w:r>
              <w:rPr>
                <w:rFonts w:ascii="Calibri" w:hAnsi="Calibri"/>
                <w:sz w:val="22"/>
              </w:rPr>
              <w:t>$1.640</w:t>
            </w:r>
          </w:p>
        </w:tc>
        <w:tc>
          <w:tcPr>
            <w:tcW w:type="dxa" w:w="1080"/>
          </w:tcPr>
          <w:p>
            <w:r>
              <w:rPr>
                <w:rFonts w:ascii="Calibri" w:hAnsi="Calibri"/>
                <w:sz w:val="22"/>
              </w:rPr>
              <w:t>$1.619</w:t>
            </w:r>
          </w:p>
        </w:tc>
        <w:tc>
          <w:tcPr>
            <w:tcW w:type="dxa" w:w="1080"/>
          </w:tcPr>
          <w:p>
            <w:r>
              <w:rPr>
                <w:rFonts w:ascii="Calibri" w:hAnsi="Calibri"/>
                <w:sz w:val="22"/>
              </w:rPr>
              <w:t>-1.3%</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Organic Sales — FY 2026</w:t>
            </w:r>
          </w:p>
        </w:tc>
        <w:tc>
          <w:tcPr>
            <w:tcW w:type="dxa" w:w="1080"/>
          </w:tcPr>
          <w:p>
            <w:r>
              <w:rPr>
                <w:rFonts w:ascii="Calibri" w:hAnsi="Calibri"/>
                <w:sz w:val="22"/>
              </w:rPr>
              <w:t>~2.6%</w:t>
            </w:r>
          </w:p>
        </w:tc>
        <w:tc>
          <w:tcPr>
            <w:tcW w:type="dxa" w:w="1080"/>
          </w:tcPr>
          <w:p>
            <w:r>
              <w:rPr>
                <w:rFonts w:ascii="Calibri" w:hAnsi="Calibri"/>
                <w:sz w:val="22"/>
              </w:rPr>
              <w:t>~2.5%</w:t>
            </w:r>
          </w:p>
        </w:tc>
        <w:tc>
          <w:tcPr>
            <w:tcW w:type="dxa" w:w="1080"/>
          </w:tcPr>
          <w:p>
            <w:r>
              <w:rPr>
                <w:rFonts w:ascii="Calibri" w:hAnsi="Calibri"/>
                <w:sz w:val="22"/>
              </w:rPr>
              <w:t>-10 bps</w:t>
            </w:r>
          </w:p>
        </w:tc>
        <w:tc>
          <w:tcPr>
            <w:tcW w:type="dxa" w:w="1080"/>
          </w:tcPr>
          <w:p>
            <w:r>
              <w:rPr>
                <w:rFonts w:ascii="Calibri" w:hAnsi="Calibri"/>
                <w:sz w:val="22"/>
              </w:rPr>
              <w:t>In line to ahead of ~2.5% category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 midpoint</w:t>
            </w:r>
          </w:p>
        </w:tc>
      </w:tr>
      <w:tr>
        <w:tc>
          <w:tcPr>
            <w:tcW w:type="dxa" w:w="1080"/>
          </w:tcPr>
          <w:p>
            <w:r>
              <w:rPr>
                <w:rFonts w:ascii="Calibri" w:hAnsi="Calibri"/>
                <w:sz w:val="22"/>
              </w:rPr>
              <w:t>Net Sales — FY 2026</w:t>
            </w:r>
          </w:p>
        </w:tc>
        <w:tc>
          <w:tcPr>
            <w:tcW w:type="dxa" w:w="1080"/>
          </w:tcPr>
          <w:p>
            <w:r>
              <w:rPr>
                <w:rFonts w:ascii="Calibri" w:hAnsi="Calibri"/>
                <w:sz w:val="22"/>
              </w:rPr>
              <w:t>$16.888B</w:t>
            </w:r>
          </w:p>
        </w:tc>
        <w:tc>
          <w:tcPr>
            <w:tcW w:type="dxa" w:w="1080"/>
          </w:tcPr>
          <w:p>
            <w:r>
              <w:rPr>
                <w:rFonts w:ascii="Calibri" w:hAnsi="Calibri"/>
                <w:sz w:val="22"/>
              </w:rPr>
              <w:t>$16.857B</w:t>
            </w:r>
          </w:p>
        </w:tc>
        <w:tc>
          <w:tcPr>
            <w:tcW w:type="dxa" w:w="1080"/>
          </w:tcPr>
          <w:p>
            <w:r>
              <w:rPr>
                <w:rFonts w:ascii="Calibri" w:hAnsi="Calibri"/>
                <w:sz w:val="22"/>
              </w:rPr>
              <w:t>-0.2%</w:t>
            </w:r>
          </w:p>
        </w:tc>
        <w:tc>
          <w:tcPr>
            <w:tcW w:type="dxa" w:w="1080"/>
          </w:tcPr>
          <w:p>
            <w:r>
              <w:rPr>
                <w:rFonts w:ascii="Calibri" w:hAnsi="Calibri"/>
                <w:sz w:val="22"/>
              </w:rPr>
              <w:t>No specific FY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(excl. disc. ops) — FY 2026</w:t>
            </w:r>
          </w:p>
        </w:tc>
        <w:tc>
          <w:tcPr>
            <w:tcW w:type="dxa" w:w="1080"/>
          </w:tcPr>
          <w:p>
            <w:r>
              <w:rPr>
                <w:rFonts w:ascii="Calibri" w:hAnsi="Calibri"/>
                <w:sz w:val="22"/>
              </w:rPr>
              <w:t>$6.829</w:t>
            </w:r>
          </w:p>
        </w:tc>
        <w:tc>
          <w:tcPr>
            <w:tcW w:type="dxa" w:w="1080"/>
          </w:tcPr>
          <w:p>
            <w:r>
              <w:rPr>
                <w:rFonts w:ascii="Calibri" w:hAnsi="Calibri"/>
                <w:sz w:val="22"/>
              </w:rPr>
              <w:t>$6.757</w:t>
            </w:r>
          </w:p>
        </w:tc>
        <w:tc>
          <w:tcPr>
            <w:tcW w:type="dxa" w:w="1080"/>
          </w:tcPr>
          <w:p>
            <w:r>
              <w:rPr>
                <w:rFonts w:ascii="Calibri" w:hAnsi="Calibri"/>
                <w:sz w:val="22"/>
              </w:rPr>
              <w:t>-1.1%</w:t>
            </w:r>
          </w:p>
        </w:tc>
        <w:tc>
          <w:tcPr>
            <w:tcW w:type="dxa" w:w="1080"/>
          </w:tcPr>
          <w:p>
            <w:r>
              <w:rPr>
                <w:rFonts w:ascii="Calibri" w:hAnsi="Calibri"/>
                <w:sz w:val="22"/>
              </w:rPr>
              <w:t>Double-digit growth (cont. ops,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 growth; slightly below "double-digit" guidance</w:t>
            </w:r>
          </w:p>
        </w:tc>
      </w:tr>
    </w:tbl>
    <w:p>
      <w:r>
        <w:rPr>
          <w:rFonts w:ascii="Calibri" w:hAnsi="Calibri"/>
          <w:i/>
          <w:color w:val="525866"/>
          <w:sz w:val="22"/>
        </w:rPr>
        <w:t>Source: Visible Alpha Consensus and Actuals Data (https://insights.visiblealpha.com/mex/KMB/NMV/IS and /RI). May 5, 2026 as-of date represents ~5 trading days post Q1 2026 earnings (April 28, 2026). The modest downward drift in Q2 estimates reflects absorption of the DC fire headwind and tough comp, while FY estimates are essentially flat — consistent with management's reaffirmed guidance and the market's view that H2 will recover.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KMB has </w:t>
      </w:r>
      <w:r>
        <w:rPr>
          <w:rFonts w:ascii="Calibri" w:hAnsi="Calibri"/>
          <w:b/>
          <w:color w:val="30A46C"/>
          <w:sz w:val="22"/>
        </w:rPr>
        <w:t>significantly outperformed</w:t>
      </w:r>
      <w:r>
        <w:rPr>
          <w:rFonts w:ascii="Calibri" w:hAnsi="Calibri"/>
          <w:color w:val="525866"/>
          <w:sz w:val="22"/>
        </w:rPr>
        <w:t xml:space="preserve"> both XLP (+2.4%) and the S&amp;P 500 (+5.0%) since the Q1 earnings date, rallying ~11% through July 31, 2026 — driven by </w:t>
      </w:r>
      <w:r>
        <w:rPr>
          <w:rFonts w:ascii="Calibri" w:hAnsi="Calibri"/>
          <w:b/>
          <w:color w:val="525866"/>
          <w:sz w:val="22"/>
        </w:rPr>
        <w:t>multiple re-rating</w:t>
      </w:r>
      <w:r>
        <w:rPr>
          <w:rFonts w:ascii="Calibri" w:hAnsi="Calibri"/>
          <w:color w:val="525866"/>
          <w:sz w:val="22"/>
        </w:rPr>
        <w:t xml:space="preserve"> (P/E expanded from ~13x to ~14.6x NTM) as the Kenvue acquisition thesis gained credibility, not by estimate revisions (which were flat). The stock's outperformance raises the bar for a positive reaction on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KMB vs. XLP (Consumer Staples ETF) vs. S&amp;P 500 — Indexed to 100 at Q1 2026 Earnings Date (April 28, 2026). KMB +11.0% through July 31, 2026; XLP +2.4%; SPY +5.0%. Source: Yahoo Finance / Stock Price Data.</w:t>
      </w:r>
    </w:p>
    <w:p>
      <w:r>
        <w:rPr>
          <w:rFonts w:ascii="Calibri" w:hAnsi="Calibri"/>
          <w:color w:val="525866"/>
          <w:sz w:val="22"/>
        </w:rPr>
        <w:t>Key events since Q1 earnings (April 28, 2026):</w:t>
      </w:r>
    </w:p>
    <w:p>
      <w:pPr>
        <w:pStyle w:val="ListBullet"/>
        <w:ind w:left="360" w:hanging="360"/>
      </w:pPr>
      <w:r>
        <w:rPr>
          <w:rFonts w:ascii="Calibri" w:hAnsi="Calibri"/>
          <w:b/>
          <w:color w:val="525866"/>
          <w:sz w:val="22"/>
        </w:rPr>
        <w:t>May 5, 2026:</w:t>
      </w:r>
      <w:r>
        <w:rPr>
          <w:rFonts w:ascii="Calibri" w:hAnsi="Calibri"/>
          <w:color w:val="525866"/>
          <w:sz w:val="22"/>
        </w:rPr>
        <w:t xml:space="preserve"> 8-K filed disclosing departure of Principal Accounting Officer Andrew Scribner; CFO Urdaneta assumes interim PAO role. No market-moving impact.</w:t>
      </w:r>
    </w:p>
    <w:p>
      <w:pPr>
        <w:pStyle w:val="ListBullet"/>
        <w:ind w:left="360" w:hanging="360"/>
      </w:pPr>
      <w:r>
        <w:rPr>
          <w:rFonts w:ascii="Calibri" w:hAnsi="Calibri"/>
          <w:b/>
          <w:color w:val="525866"/>
          <w:sz w:val="22"/>
        </w:rPr>
        <w:t>May 14, 2026:</w:t>
      </w:r>
      <w:r>
        <w:rPr>
          <w:rFonts w:ascii="Calibri" w:hAnsi="Calibri"/>
          <w:color w:val="525866"/>
          <w:sz w:val="22"/>
        </w:rPr>
        <w:t xml:space="preserve"> Annual shareholder meeting — all directors elected, executive pay approved, independent chair proposal rejected.</w:t>
      </w:r>
    </w:p>
    <w:p>
      <w:pPr>
        <w:pStyle w:val="ListBullet"/>
        <w:ind w:left="360" w:hanging="360"/>
      </w:pPr>
      <w:r>
        <w:rPr>
          <w:rFonts w:ascii="Calibri" w:hAnsi="Calibri"/>
          <w:b/>
          <w:color w:val="525866"/>
          <w:sz w:val="22"/>
        </w:rPr>
        <w:t>June 4, 2026:</w:t>
      </w:r>
      <w:r>
        <w:rPr>
          <w:rFonts w:ascii="Calibri" w:hAnsi="Calibri"/>
          <w:color w:val="525866"/>
          <w:sz w:val="22"/>
        </w:rPr>
        <w:t xml:space="preserve"> CEO Hsu and CFO Urdaneta present at Deutsche Bank dbAccess Global Consumer Conference. Tone on Kenvue acquisition described as "the closer you look, the better it gets"; no guidance revision.</w:t>
      </w:r>
    </w:p>
    <w:p>
      <w:pPr>
        <w:pStyle w:val="ListBullet"/>
        <w:ind w:left="360" w:hanging="360"/>
      </w:pPr>
      <w:r>
        <w:rPr>
          <w:rFonts w:ascii="Calibri" w:hAnsi="Calibri"/>
          <w:b/>
          <w:color w:val="525866"/>
          <w:sz w:val="22"/>
        </w:rPr>
        <w:t>Late June – early July 2026:</w:t>
      </w:r>
      <w:r>
        <w:rPr>
          <w:rFonts w:ascii="Calibri" w:hAnsi="Calibri"/>
          <w:color w:val="525866"/>
          <w:sz w:val="22"/>
        </w:rPr>
        <w:t xml:space="preserve"> KMB stock accelerated higher (+~10% in ~2 weeks), likely reflecting broader consumer staples rotation and growing Kenvue deal confidence.</w:t>
      </w:r>
    </w:p>
    <w:p>
      <w:pPr>
        <w:pStyle w:val="ListBullet"/>
        <w:ind w:left="360" w:hanging="360"/>
      </w:pPr>
      <w:r>
        <w:rPr>
          <w:rFonts w:ascii="Calibri" w:hAnsi="Calibri"/>
          <w:b/>
          <w:color w:val="525866"/>
          <w:sz w:val="22"/>
        </w:rPr>
        <w:t>July 7, 2026:</w:t>
      </w:r>
      <w:r>
        <w:rPr>
          <w:rFonts w:ascii="Calibri" w:hAnsi="Calibri"/>
          <w:color w:val="525866"/>
          <w:sz w:val="22"/>
        </w:rPr>
        <w:t xml:space="preserve"> KMB announced Q2 2026 results date of August 4, 2026.</w:t>
      </w:r>
    </w:p>
    <w:p>
      <w:r>
        <w:rPr>
          <w:rFonts w:ascii="Calibri" w:hAnsi="Calibri"/>
          <w:b/>
          <w:color w:val="525866"/>
          <w:sz w:val="22"/>
        </w:rPr>
        <w:t xml:space="preserve">Performance decomposition: </w:t>
      </w:r>
      <w:r>
        <w:rPr>
          <w:rFonts w:ascii="Calibri" w:hAnsi="Calibri"/>
          <w:i/>
          <w:color w:val="525866"/>
          <w:sz w:val="22"/>
        </w:rPr>
        <w:t>Over the 3-month window, KMB's NTM P/E expanded from ~13.0x to ~14.6x (+12%), while NTM EV/EBITDA moved from ~10.4x to ~11.3x (+9%). The stock's outperformance is almost entirely multiple-driven, not earnings-revision-driven — a pattern that is more fragile and more sensitive to any guidance disappointment on the Q2 call. Source: Stock Price Data (Yahoo Finance); Valuation multiples from Implied platform.</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Deutsche Bank conference (June 4)</w:t>
      </w:r>
      <w:r>
        <w:rPr>
          <w:rFonts w:ascii="Calibri" w:hAnsi="Calibri"/>
          <w:color w:val="525866"/>
          <w:sz w:val="22"/>
        </w:rPr>
        <w:t xml:space="preserve"> where management escalated conviction on the Kenvue acquisition — describing specific revenue synergy opportunities and confirming integration is tracking ahead of plan. The </w:t>
      </w:r>
      <w:r>
        <w:rPr>
          <w:rFonts w:ascii="Calibri" w:hAnsi="Calibri"/>
          <w:b/>
          <w:color w:val="E5484D"/>
          <w:sz w:val="22"/>
        </w:rPr>
        <w:t>unresolved H2 input cost risk</w:t>
      </w:r>
      <w:r>
        <w:rPr>
          <w:rFonts w:ascii="Calibri" w:hAnsi="Calibri"/>
          <w:color w:val="525866"/>
          <w:sz w:val="22"/>
        </w:rPr>
        <w:t xml:space="preserve"> ($150–170M if oil stays ~$100/bbl) remains the key overhang for the print.</w:t>
      </w:r>
    </w:p>
    <w:p>
      <w:pPr>
        <w:pStyle w:val="ListBullet"/>
        <w:ind w:left="360" w:hanging="360"/>
      </w:pPr>
      <w:r>
        <w:rPr>
          <w:rFonts w:ascii="Calibri" w:hAnsi="Calibri"/>
          <w:b/>
          <w:color w:val="525866"/>
          <w:sz w:val="22"/>
        </w:rPr>
        <w:t>June 4, 2026 — Deutsche Bank dbAccess Global Consumer Conference:</w:t>
      </w:r>
      <w:r>
        <w:rPr>
          <w:rFonts w:ascii="Calibri" w:hAnsi="Calibri"/>
          <w:i/>
          <w:color w:val="525866"/>
          <w:sz w:val="22"/>
        </w:rPr>
        <w:t xml:space="preserve"> CEO Hsu and CFO Urdaneta presented. Management described the Kenvue acquisition as "the closer you look, the better it gets," citing specific near-term revenue synergy opportunities: (1) e-commerce — KMB is ~700 bps higher share on e-commerce vs. offline while Kenvue is under-indexed; (2) geographic distribution gaps — Kenvue has multi-billion dollar businesses in Europe and ~3M distribution points in India where KMB is small; KMB has multi-billion dollar businesses in Mexico and Korea where Kenvue is small; (3) longer-term product innovation combining KMB engineering with Kenvue science. Cost synergy confidence growing: overheads (plug-and-play leverage of shared services, RGM) contributing over one-third of total synergies. Post-close leverage expected at ~2.9x EBITDA, declining to ~2x within 24 months. </w:t>
      </w:r>
      <w:r>
        <w:rPr>
          <w:rFonts w:ascii="Calibri" w:hAnsi="Calibri"/>
          <w:b/>
          <w:color w:val="525866"/>
          <w:sz w:val="22"/>
        </w:rPr>
        <w:t xml:space="preserve">Implication: </w:t>
      </w:r>
      <w:r>
        <w:rPr>
          <w:rFonts w:ascii="Calibri" w:hAnsi="Calibri"/>
          <w:color w:val="525866"/>
          <w:sz w:val="22"/>
        </w:rPr>
        <w:t>Positive for the deal thesis; no guidance revision but tone escalation is meaningful.</w:t>
      </w:r>
    </w:p>
    <w:p>
      <w:pPr>
        <w:pStyle w:val="ListBullet"/>
        <w:ind w:left="360" w:hanging="360"/>
      </w:pPr>
      <w:r>
        <w:rPr>
          <w:rFonts w:ascii="Calibri" w:hAnsi="Calibri"/>
          <w:b/>
          <w:color w:val="525866"/>
          <w:sz w:val="22"/>
        </w:rPr>
        <w:t>May 5, 2026 — 8-K: Principal Accounting Officer Departure:</w:t>
      </w:r>
      <w:r>
        <w:rPr>
          <w:rFonts w:ascii="Calibri" w:hAnsi="Calibri"/>
          <w:i/>
          <w:color w:val="525866"/>
          <w:sz w:val="22"/>
        </w:rPr>
        <w:t xml:space="preserve"> Andrew Scribner (VP, Controller &amp; FP&amp;A) departed effective May 22, 2026. CFO Nelson Urdaneta assumed interim PAO role. </w:t>
      </w:r>
      <w:r>
        <w:rPr>
          <w:rFonts w:ascii="Calibri" w:hAnsi="Calibri"/>
          <w:b/>
          <w:color w:val="525866"/>
          <w:sz w:val="22"/>
        </w:rPr>
        <w:t xml:space="preserve">Implication: </w:t>
      </w:r>
      <w:r>
        <w:rPr>
          <w:rFonts w:ascii="Calibri" w:hAnsi="Calibri"/>
          <w:color w:val="525866"/>
          <w:sz w:val="22"/>
        </w:rPr>
        <w:t>Minor operational disruption; no financial guidance impact. Scribner also sold 4,095 shares on May 6 (see Insider section).</w:t>
      </w:r>
    </w:p>
    <w:p>
      <w:pPr>
        <w:pStyle w:val="ListBullet"/>
        <w:ind w:left="360" w:hanging="360"/>
      </w:pPr>
      <w:r>
        <w:rPr>
          <w:rFonts w:ascii="Calibri" w:hAnsi="Calibri"/>
          <w:b/>
          <w:color w:val="525866"/>
          <w:sz w:val="22"/>
        </w:rPr>
        <w:t>May 14, 2026 — Annual Shareholder Meeting:</w:t>
      </w:r>
      <w:r>
        <w:rPr>
          <w:rFonts w:ascii="Calibri" w:hAnsi="Calibri"/>
          <w:i/>
          <w:color w:val="525866"/>
          <w:sz w:val="22"/>
        </w:rPr>
        <w:t xml:space="preserve"> All directors elected, executive compensation approved, independent chair proposal rejected. </w:t>
      </w:r>
      <w:r>
        <w:rPr>
          <w:rFonts w:ascii="Calibri" w:hAnsi="Calibri"/>
          <w:b/>
          <w:color w:val="525866"/>
          <w:sz w:val="22"/>
        </w:rPr>
        <w:t xml:space="preserve">Implication: </w:t>
      </w:r>
      <w:r>
        <w:rPr>
          <w:rFonts w:ascii="Calibri" w:hAnsi="Calibri"/>
          <w:color w:val="525866"/>
          <w:sz w:val="22"/>
        </w:rPr>
        <w:t>Routine; no market impact.</w:t>
      </w:r>
    </w:p>
    <w:p>
      <w:pPr>
        <w:pStyle w:val="ListBullet"/>
        <w:ind w:left="360" w:hanging="360"/>
      </w:pPr>
      <w:r>
        <w:rPr>
          <w:rFonts w:ascii="Calibri" w:hAnsi="Calibri"/>
          <w:b/>
          <w:color w:val="525866"/>
          <w:sz w:val="22"/>
        </w:rPr>
        <w:t>April 28, 2026 — Q1 2026 Earnings (Baseline):</w:t>
      </w:r>
      <w:r>
        <w:rPr>
          <w:rFonts w:ascii="Calibri" w:hAnsi="Calibri"/>
          <w:i/>
          <w:color w:val="525866"/>
          <w:sz w:val="22"/>
        </w:rPr>
        <w:t xml:space="preserve"> Beat on both organic sales (2.5% vs. ~1.9% consensus) and adj. EPS ($1.60 vs. $1.54 consensus). Management reaffirmed FY guidance but flagged: (1) ~$20M Q2 top-line headwind from California DC fire; (2) ~$50M Q2 bottom-line headwind from Middle East inflation + DC fire; (3) potential $150–170M H2 gross incremental input cost if oil stays ~$100/bbl — NOT in guidance. </w:t>
      </w:r>
      <w:r>
        <w:rPr>
          <w:rFonts w:ascii="Calibri" w:hAnsi="Calibri"/>
          <w:b/>
          <w:color w:val="525866"/>
          <w:sz w:val="22"/>
        </w:rPr>
        <w:t xml:space="preserve">Implication: </w:t>
      </w:r>
      <w:r>
        <w:rPr>
          <w:rFonts w:ascii="Calibri" w:hAnsi="Calibri"/>
          <w:color w:val="525866"/>
          <w:sz w:val="22"/>
        </w:rPr>
        <w:t>Sets the bar for Q2 and frames the key H2 risk that the August 4 call must address.</w:t>
      </w:r>
    </w:p>
    <w:p>
      <w:pPr>
        <w:pStyle w:val="ListBullet"/>
        <w:ind w:left="360" w:hanging="360"/>
      </w:pPr>
      <w:r>
        <w:rPr>
          <w:rFonts w:ascii="Calibri" w:hAnsi="Calibri"/>
          <w:b/>
          <w:color w:val="525866"/>
          <w:sz w:val="22"/>
        </w:rPr>
        <w:t>Ongoing — Kenvue Acquisition Integration Planning:</w:t>
      </w:r>
      <w:r>
        <w:rPr>
          <w:rFonts w:ascii="Calibri" w:hAnsi="Calibri"/>
          <w:i/>
          <w:color w:val="525866"/>
          <w:sz w:val="22"/>
        </w:rPr>
        <w:t xml:space="preserve"> Over 40 integration workstreams active with 400+ people involved; integration management office headed by COO Russ. Post-closing organizational structure announced April 15, 2026 with four geographic segments. IFP/Suzano JV expected to close mid-2026 (proceeds to fund Kenvue acquisition). </w:t>
      </w:r>
      <w:r>
        <w:rPr>
          <w:rFonts w:ascii="Calibri" w:hAnsi="Calibri"/>
          <w:b/>
          <w:color w:val="525866"/>
          <w:sz w:val="22"/>
        </w:rPr>
        <w:t xml:space="preserve">Implication: </w:t>
      </w:r>
      <w:r>
        <w:rPr>
          <w:rFonts w:ascii="Calibri" w:hAnsi="Calibri"/>
          <w:color w:val="525866"/>
          <w:sz w:val="22"/>
        </w:rPr>
        <w:t>Any update on IFP close timing or Kenvue deal financing will be closely watched.</w:t>
      </w:r>
    </w:p>
    <w:p>
      <w:pPr>
        <w:pStyle w:val="ListBullet"/>
        <w:ind w:left="360" w:hanging="360"/>
      </w:pPr>
      <w:r>
        <w:rPr>
          <w:rFonts w:ascii="Calibri" w:hAnsi="Calibri"/>
          <w:b/>
          <w:color w:val="525866"/>
          <w:sz w:val="22"/>
        </w:rPr>
        <w:t>Ongoing — Costco/Club Channel Distribution Loss:</w:t>
      </w:r>
      <w:r>
        <w:rPr>
          <w:rFonts w:ascii="Calibri" w:hAnsi="Calibri"/>
          <w:i/>
          <w:color w:val="525866"/>
          <w:sz w:val="22"/>
        </w:rPr>
        <w:t xml:space="preserve"> Partial loss of Huggies diapers and Pull-Ups in club channel starting Q1 2026. Management shifted investments to other channels and expects normalization through 2026. </w:t>
      </w:r>
      <w:r>
        <w:rPr>
          <w:rFonts w:ascii="Calibri" w:hAnsi="Calibri"/>
          <w:b/>
          <w:color w:val="525866"/>
          <w:sz w:val="22"/>
        </w:rPr>
        <w:t xml:space="preserve">Implication: </w:t>
      </w:r>
      <w:r>
        <w:rPr>
          <w:rFonts w:ascii="Calibri" w:hAnsi="Calibri"/>
          <w:color w:val="525866"/>
          <w:sz w:val="22"/>
        </w:rPr>
        <w:t>Ongoing headwind for North America segment; watch for any update on recovery trajectory.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all transactions are discretionary sales by departing or active insiders in the days immediately following Q1 earnings. The sales are </w:t>
      </w:r>
      <w:r>
        <w:rPr>
          <w:rFonts w:ascii="Calibri" w:hAnsi="Calibri"/>
          <w:b/>
          <w:color w:val="525866"/>
          <w:sz w:val="22"/>
        </w:rPr>
        <w:t>not alarming in isolation</w:t>
      </w:r>
      <w:r>
        <w:rPr>
          <w:rFonts w:ascii="Calibri" w:hAnsi="Calibri"/>
          <w:color w:val="525866"/>
          <w:sz w:val="22"/>
        </w:rPr>
        <w:t xml:space="preserve"> — Scribner's sale is consistent with his departure, and Chen's sales are modest relative to her remaining position — but the </w:t>
      </w:r>
      <w:r>
        <w:rPr>
          <w:rFonts w:ascii="Calibri" w:hAnsi="Calibri"/>
          <w:b/>
          <w:color w:val="E5484D"/>
          <w:sz w:val="22"/>
        </w:rPr>
        <w:t>absence of any insider buying</w:t>
      </w:r>
      <w:r>
        <w:rPr>
          <w:rFonts w:ascii="Calibri" w:hAnsi="Calibri"/>
          <w:color w:val="525866"/>
          <w:sz w:val="22"/>
        </w:rPr>
        <w:t xml:space="preserve"> despite the stock trading near multi-year lows at the time of the Q1 print is a mild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Andrew Scribner</w:t>
            </w:r>
          </w:p>
        </w:tc>
        <w:tc>
          <w:tcPr>
            <w:tcW w:type="dxa" w:w="1440"/>
          </w:tcPr>
          <w:p>
            <w:r>
              <w:rPr>
                <w:rFonts w:ascii="Calibri" w:hAnsi="Calibri"/>
                <w:sz w:val="22"/>
              </w:rPr>
              <w:t>Controller, VP &amp; FP&amp;A (departing)</w:t>
            </w:r>
          </w:p>
        </w:tc>
        <w:tc>
          <w:tcPr>
            <w:tcW w:type="dxa" w:w="1440"/>
          </w:tcPr>
          <w:p>
            <w:r>
              <w:rPr>
                <w:rFonts w:ascii="Calibri" w:hAnsi="Calibri"/>
                <w:sz w:val="22"/>
              </w:rPr>
              <w:t>Open Market Sale</w:t>
            </w:r>
          </w:p>
        </w:tc>
        <w:tc>
          <w:tcPr>
            <w:tcW w:type="dxa" w:w="1440"/>
          </w:tcPr>
          <w:p>
            <w:r>
              <w:rPr>
                <w:rFonts w:ascii="Calibri" w:hAnsi="Calibri"/>
                <w:sz w:val="22"/>
              </w:rPr>
              <w:t>4,095 shares</w:t>
            </w:r>
          </w:p>
        </w:tc>
        <w:tc>
          <w:tcPr>
            <w:tcW w:type="dxa" w:w="1440"/>
          </w:tcPr>
          <w:p>
            <w:r>
              <w:rPr>
                <w:rFonts w:ascii="Calibri" w:hAnsi="Calibri"/>
                <w:sz w:val="22"/>
              </w:rPr>
              <w:t>May 6, 2026</w:t>
            </w:r>
          </w:p>
        </w:tc>
        <w:tc>
          <w:tcPr>
            <w:tcW w:type="dxa" w:w="1440"/>
          </w:tcPr>
          <w:p>
            <w:r>
              <w:rPr>
                <w:rFonts w:ascii="Calibri" w:hAnsi="Calibri"/>
                <w:sz w:val="22"/>
              </w:rPr>
              <w:t>Discretionary sale; consistent with departure (effective May 22, 2026). Sold entire remaining position (0 shares post-transaction).</w:t>
            </w:r>
          </w:p>
        </w:tc>
      </w:tr>
      <w:tr>
        <w:tc>
          <w:tcPr>
            <w:tcW w:type="dxa" w:w="1440"/>
          </w:tcPr>
          <w:p>
            <w:r>
              <w:rPr>
                <w:rFonts w:ascii="Calibri" w:hAnsi="Calibri"/>
                <w:sz w:val="22"/>
              </w:rPr>
              <w:t>Katy Chen</w:t>
            </w:r>
          </w:p>
        </w:tc>
        <w:tc>
          <w:tcPr>
            <w:tcW w:type="dxa" w:w="1440"/>
          </w:tcPr>
          <w:p>
            <w:r>
              <w:rPr>
                <w:rFonts w:ascii="Calibri" w:hAnsi="Calibri"/>
                <w:sz w:val="22"/>
              </w:rPr>
              <w:t>President, International Personal Care</w:t>
            </w:r>
          </w:p>
        </w:tc>
        <w:tc>
          <w:tcPr>
            <w:tcW w:type="dxa" w:w="1440"/>
          </w:tcPr>
          <w:p>
            <w:r>
              <w:rPr>
                <w:rFonts w:ascii="Calibri" w:hAnsi="Calibri"/>
                <w:sz w:val="22"/>
              </w:rPr>
              <w:t>Open Market Sale</w:t>
            </w:r>
          </w:p>
        </w:tc>
        <w:tc>
          <w:tcPr>
            <w:tcW w:type="dxa" w:w="1440"/>
          </w:tcPr>
          <w:p>
            <w:r>
              <w:rPr>
                <w:rFonts w:ascii="Calibri" w:hAnsi="Calibri"/>
                <w:sz w:val="22"/>
              </w:rPr>
              <w:t>1,596 shares</w:t>
            </w:r>
          </w:p>
        </w:tc>
        <w:tc>
          <w:tcPr>
            <w:tcW w:type="dxa" w:w="1440"/>
          </w:tcPr>
          <w:p>
            <w:r>
              <w:rPr>
                <w:rFonts w:ascii="Calibri" w:hAnsi="Calibri"/>
                <w:sz w:val="22"/>
              </w:rPr>
              <w:t>May 4, 2026</w:t>
            </w:r>
          </w:p>
        </w:tc>
        <w:tc>
          <w:tcPr>
            <w:tcW w:type="dxa" w:w="1440"/>
          </w:tcPr>
          <w:p>
            <w:r>
              <w:rPr>
                <w:rFonts w:ascii="Calibri" w:hAnsi="Calibri"/>
                <w:sz w:val="22"/>
              </w:rPr>
              <w:t>Discretionary sale; 8,362 shares remaining post-transaction. Not flagged as 10b5-1 plan.</w:t>
            </w:r>
          </w:p>
        </w:tc>
      </w:tr>
      <w:tr>
        <w:tc>
          <w:tcPr>
            <w:tcW w:type="dxa" w:w="1440"/>
          </w:tcPr>
          <w:p>
            <w:r>
              <w:rPr>
                <w:rFonts w:ascii="Calibri" w:hAnsi="Calibri"/>
                <w:sz w:val="22"/>
              </w:rPr>
              <w:t>Katy Chen</w:t>
            </w:r>
          </w:p>
        </w:tc>
        <w:tc>
          <w:tcPr>
            <w:tcW w:type="dxa" w:w="1440"/>
          </w:tcPr>
          <w:p>
            <w:r>
              <w:rPr>
                <w:rFonts w:ascii="Calibri" w:hAnsi="Calibri"/>
                <w:sz w:val="22"/>
              </w:rPr>
              <w:t>President, International Personal Care</w:t>
            </w:r>
          </w:p>
        </w:tc>
        <w:tc>
          <w:tcPr>
            <w:tcW w:type="dxa" w:w="1440"/>
          </w:tcPr>
          <w:p>
            <w:r>
              <w:rPr>
                <w:rFonts w:ascii="Calibri" w:hAnsi="Calibri"/>
                <w:sz w:val="22"/>
              </w:rPr>
              <w:t>Open Market Sale</w:t>
            </w:r>
          </w:p>
        </w:tc>
        <w:tc>
          <w:tcPr>
            <w:tcW w:type="dxa" w:w="1440"/>
          </w:tcPr>
          <w:p>
            <w:r>
              <w:rPr>
                <w:rFonts w:ascii="Calibri" w:hAnsi="Calibri"/>
                <w:sz w:val="22"/>
              </w:rPr>
              <w:t>1,405 shares</w:t>
            </w:r>
          </w:p>
        </w:tc>
        <w:tc>
          <w:tcPr>
            <w:tcW w:type="dxa" w:w="1440"/>
          </w:tcPr>
          <w:p>
            <w:r>
              <w:rPr>
                <w:rFonts w:ascii="Calibri" w:hAnsi="Calibri"/>
                <w:sz w:val="22"/>
              </w:rPr>
              <w:t>Apr 30, 2026</w:t>
            </w:r>
          </w:p>
        </w:tc>
        <w:tc>
          <w:tcPr>
            <w:tcW w:type="dxa" w:w="1440"/>
          </w:tcPr>
          <w:p>
            <w:r>
              <w:rPr>
                <w:rFonts w:ascii="Calibri" w:hAnsi="Calibri"/>
                <w:sz w:val="22"/>
              </w:rPr>
              <w:t>Discretionary sale; 6,502 shares remaining post-transaction. Executed 2 days after Q1 earnings beat.</w:t>
            </w:r>
          </w:p>
        </w:tc>
      </w:tr>
    </w:tbl>
    <w:p>
      <w:r>
        <w:rPr>
          <w:rFonts w:ascii="Calibri" w:hAnsi="Calibri"/>
          <w:i/>
          <w:color w:val="525866"/>
          <w:sz w:val="22"/>
        </w:rPr>
        <w:t>Source: SEC Form 4 Filings (Insider Transaction Data). Form 4 filing dates: Scribner — May 6, 2026 (https://www.sec.gov/Archives/edgar/data/55785/000122520826004974/xslF345X06/doc4.xml); Chen May 4 — May 4, 2026 (https://www.sec.gov/Archives/edgar/data/55785/000122520826004903/xslF345X06/doc4.xml); Chen Apr 30 — May 1, 2026 (https://www.sec.gov/Archives/edgar/data/55785/000122520826004749/xslF345X06/doc4.xml). Only open-market transactions (Form 4 codes P/S) included.</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 xml:space="preserve">Peer commentary from Colgate-Palmolive (CL, Q2 2026 earnings July 31) and Church &amp; Dwight (CHD, Q2 2026 earnings July 31) — both reporting their April–June 2026 quarters — provides a </w:t>
      </w:r>
      <w:r>
        <w:rPr>
          <w:rFonts w:ascii="Calibri" w:hAnsi="Calibri"/>
          <w:b/>
          <w:color w:val="525866"/>
          <w:sz w:val="22"/>
        </w:rPr>
        <w:t>mixed but broadly constructive</w:t>
      </w:r>
      <w:r>
        <w:rPr>
          <w:rFonts w:ascii="Calibri" w:hAnsi="Calibri"/>
          <w:color w:val="525866"/>
          <w:sz w:val="22"/>
        </w:rPr>
        <w:t xml:space="preserve"> read-through for KMB's Q2 2026 print. Consumer spending remained resilient, category growth held near 2%, and promotional intensity was elevated but manageable. The key shared headwind is </w:t>
      </w:r>
      <w:r>
        <w:rPr>
          <w:rFonts w:ascii="Calibri" w:hAnsi="Calibri"/>
          <w:b/>
          <w:color w:val="E5484D"/>
          <w:sz w:val="22"/>
        </w:rPr>
        <w:t>Middle East-driven input cost inflation</w:t>
      </w:r>
      <w:r>
        <w:rPr>
          <w:rFonts w:ascii="Calibri" w:hAnsi="Calibri"/>
          <w:color w:val="525866"/>
          <w:sz w:val="22"/>
        </w:rPr>
        <w:t xml:space="preserve"> (~$30M for CHD, peaking in H2 for CL), which directly validates KMB's pre-disclosed $50M Q2 bottom-line headwind. Procter &amp; Gamble (PG, reporting its fiscal Q4 2026 on July 29) offered a cautious read on the US consumer and soft guidance, which is a mild negative read-through for KMB's North America segment.</w:t>
      </w:r>
    </w:p>
    <w:p>
      <w:r>
        <w:rPr>
          <w:rFonts w:ascii="Calibri" w:hAnsi="Calibri"/>
          <w:b/>
          <w:color w:val="525866"/>
          <w:sz w:val="22"/>
        </w:rPr>
        <w:t xml:space="preserve">Filter applied: </w:t>
      </w:r>
      <w:r>
        <w:rPr>
          <w:rFonts w:ascii="Calibri" w:hAnsi="Calibri"/>
          <w:i/>
          <w:color w:val="525866"/>
          <w:sz w:val="22"/>
        </w:rPr>
        <w:t>Only commentary from peers' Q2 2026 earnings calls (July 29–31, 2026) that directly describes conditions during the April–June 2026 calendar quarter — which is KMB's current reporting period — is included below. Forward-looking guidance from peers about their own Q3 2026 (July–September) and retrospective commentary about prior peer quarters are excluded.</w:t>
      </w:r>
    </w:p>
    <w:p>
      <w:pPr>
        <w:pStyle w:val="Heading3"/>
      </w:pPr>
      <w:r>
        <w:rPr>
          <w:rFonts w:ascii="Calibri" w:hAnsi="Calibri"/>
          <w:b/>
          <w:color w:val="3B4259"/>
          <w:sz w:val="24"/>
        </w:rPr>
        <w:t>Colgate-Palmolive (CL) — Q2 2026 Earnings Call (July 31, 2026)</w:t>
      </w:r>
    </w:p>
    <w:p>
      <w:r>
        <w:rPr>
          <w:rFonts w:ascii="Calibri" w:hAnsi="Calibri"/>
          <w:b/>
          <w:color w:val="525866"/>
          <w:sz w:val="22"/>
        </w:rPr>
        <w:t xml:space="preserve">Relevance: </w:t>
      </w:r>
      <w:r>
        <w:rPr>
          <w:rFonts w:ascii="Calibri" w:hAnsi="Calibri"/>
          <w:color w:val="525866"/>
          <w:sz w:val="22"/>
        </w:rPr>
        <w:t>CL's Q2 2026 covers April–June 2026, the same calendar quarter as KMB's Q2 2026. CL competes directly with KMB in oral care, personal care, and household products globally.</w:t>
      </w:r>
    </w:p>
    <w:p>
      <w:pPr>
        <w:pStyle w:val="ListBullet"/>
        <w:ind w:left="360" w:hanging="360"/>
      </w:pPr>
      <w:r>
        <w:rPr>
          <w:rFonts w:ascii="Calibri" w:hAnsi="Calibri"/>
          <w:b/>
          <w:color w:val="525866"/>
          <w:sz w:val="22"/>
        </w:rPr>
        <w:t>US Category Softness in May, Recovery in June:</w:t>
      </w:r>
      <w:r>
        <w:rPr>
          <w:rFonts w:ascii="Calibri" w:hAnsi="Calibri"/>
          <w:color w:val="525866"/>
          <w:sz w:val="22"/>
        </w:rPr>
        <w:t xml:space="preserve"> CL observed "a significant drop in North America categories in May" attributed to "peak gasoline prices" and "consumer uncertainty," with categories recovering in June but remaining "still below historical numbers." This directly corroborates the operating environment KMB faced in Q2 and is consistent with KMB's pre-disclosed DC fire headwind compounding a soft demand backdrop in the quarter.</w:t>
      </w:r>
    </w:p>
    <w:p>
      <w:pPr>
        <w:pStyle w:val="ListBullet"/>
        <w:ind w:left="360" w:hanging="360"/>
      </w:pPr>
      <w:r>
        <w:rPr>
          <w:rFonts w:ascii="Calibri" w:hAnsi="Calibri"/>
          <w:b/>
          <w:color w:val="525866"/>
          <w:sz w:val="22"/>
        </w:rPr>
        <w:t>Heightened Competitive Activity &amp; Retailer Inventory Reductions:</w:t>
      </w:r>
      <w:r>
        <w:rPr>
          <w:rFonts w:ascii="Calibri" w:hAnsi="Calibri"/>
          <w:color w:val="525866"/>
          <w:sz w:val="22"/>
        </w:rPr>
        <w:t xml:space="preserve"> CL cited "heightened competitive activity" and "inventory reductions from key retailers" during Q2 2026 as drivers of US underperformance. This is a relevant read-through for KMB's North America segment, particularly given the ongoing Costco/club channel distribution headwind.</w:t>
      </w:r>
    </w:p>
    <w:p>
      <w:pPr>
        <w:pStyle w:val="ListBullet"/>
        <w:ind w:left="360" w:hanging="360"/>
      </w:pPr>
      <w:r>
        <w:rPr>
          <w:rFonts w:ascii="Calibri" w:hAnsi="Calibri"/>
          <w:b/>
          <w:color w:val="525866"/>
          <w:sz w:val="22"/>
        </w:rPr>
        <w:t>Input Cost Inflation Peaking in H2:</w:t>
      </w:r>
      <w:r>
        <w:rPr>
          <w:rFonts w:ascii="Calibri" w:hAnsi="Calibri"/>
          <w:color w:val="525866"/>
          <w:sz w:val="22"/>
        </w:rPr>
        <w:t xml:space="preserve"> CL stated it expects "cost of goods to peak in the back half of this year as well as tariffs," with Q3 2026 "largely locked in, pretty much in line with where we previously guided." This validates KMB's pre-disclosed $50M Q2 bottom-line headwind and the potential $150–170M H2 gross incremental cost risk if oil stays elevated.</w:t>
      </w:r>
    </w:p>
    <w:p>
      <w:pPr>
        <w:pStyle w:val="ListBullet"/>
        <w:ind w:left="360" w:hanging="360"/>
      </w:pPr>
      <w:r>
        <w:rPr>
          <w:rFonts w:ascii="Calibri" w:hAnsi="Calibri"/>
          <w:b/>
          <w:color w:val="525866"/>
          <w:sz w:val="22"/>
        </w:rPr>
        <w:t>Gross Margin Guidance Raised to "Roughly Flat" for FY:</w:t>
      </w:r>
      <w:r>
        <w:rPr>
          <w:rFonts w:ascii="Calibri" w:hAnsi="Calibri"/>
          <w:color w:val="525866"/>
          <w:sz w:val="22"/>
        </w:rPr>
        <w:t xml:space="preserve"> Despite higher H2 input costs, CL raised its gross margin guidance from "down" to "roughly flat" for the full year, citing strong execution. This is a mild positive read-through for KMB's own margin expansion trajectory, suggesting productivity and RGM tools can offset inflation.</w:t>
      </w:r>
    </w:p>
    <w:p>
      <w:pPr>
        <w:pStyle w:val="ListBullet"/>
        <w:ind w:left="360" w:hanging="360"/>
      </w:pPr>
      <w:r>
        <w:rPr>
          <w:rFonts w:ascii="Calibri" w:hAnsi="Calibri"/>
          <w:b/>
          <w:color w:val="525866"/>
          <w:sz w:val="22"/>
        </w:rPr>
        <w:t>Promotional Environment Elevated:</w:t>
      </w:r>
      <w:r>
        <w:rPr>
          <w:rFonts w:ascii="Calibri" w:hAnsi="Calibri"/>
          <w:color w:val="525866"/>
          <w:sz w:val="22"/>
        </w:rPr>
        <w:t xml:space="preserve"> CL identified "very select price gaps in certain retailers and certain categories" and plans "surgical actions" to address them. Elevated promotional activity across the CPG sector is a relevant backdrop for KMB's own pricing net of commodity (PNOC) discipline.</w:t>
      </w:r>
    </w:p>
    <w:p>
      <w:r>
        <w:rPr>
          <w:rFonts w:ascii="Calibri" w:hAnsi="Calibri"/>
          <w:i/>
          <w:color w:val="525866"/>
          <w:sz w:val="22"/>
        </w:rPr>
        <w:t>Source: Colgate-Palmolive Q2 2026 Earnings Call Transcript (July 31, 2026), documents/CL/transcript/earnings/2026Q2/raw_document.txt.</w:t>
      </w:r>
    </w:p>
    <w:p>
      <w:pPr>
        <w:pStyle w:val="Heading3"/>
      </w:pPr>
      <w:r>
        <w:rPr>
          <w:rFonts w:ascii="Calibri" w:hAnsi="Calibri"/>
          <w:b/>
          <w:color w:val="3B4259"/>
          <w:sz w:val="24"/>
        </w:rPr>
        <w:t>Church &amp; Dwight (CHD) — Q2 2026 Earnings Call (July 31, 2026)</w:t>
      </w:r>
    </w:p>
    <w:p>
      <w:r>
        <w:rPr>
          <w:rFonts w:ascii="Calibri" w:hAnsi="Calibri"/>
          <w:b/>
          <w:color w:val="525866"/>
          <w:sz w:val="22"/>
        </w:rPr>
        <w:t xml:space="preserve">Relevance: </w:t>
      </w:r>
      <w:r>
        <w:rPr>
          <w:rFonts w:ascii="Calibri" w:hAnsi="Calibri"/>
          <w:color w:val="525866"/>
          <w:sz w:val="22"/>
        </w:rPr>
        <w:t>CHD's Q2 2026 covers April–June 2026, the same calendar quarter as KMB's Q2 2026. CHD competes in household and personal care categories and is a useful read-through for US consumer demand and category dynamics.</w:t>
      </w:r>
    </w:p>
    <w:p>
      <w:pPr>
        <w:pStyle w:val="ListBullet"/>
        <w:ind w:left="360" w:hanging="360"/>
      </w:pPr>
      <w:r>
        <w:rPr>
          <w:rFonts w:ascii="Calibri" w:hAnsi="Calibri"/>
          <w:b/>
          <w:color w:val="525866"/>
          <w:sz w:val="22"/>
        </w:rPr>
        <w:t>Consumer Spending Remained Resilient:</w:t>
      </w:r>
      <w:r>
        <w:rPr>
          <w:rFonts w:ascii="Calibri" w:hAnsi="Calibri"/>
          <w:color w:val="525866"/>
          <w:sz w:val="22"/>
        </w:rPr>
        <w:t xml:space="preserve"> CHD stated "consumer spending remains resilient" and that "conditions remain dynamic" but categories grew at 2.7% in Q2 2026, exceeding their ~2% expectation. This is a positive read-through for KMB's category growth assumptions and supports the view that the Q2 softness is more company-specific (DC fire, tough comp) than a broad demand collapse.</w:t>
      </w:r>
    </w:p>
    <w:p>
      <w:pPr>
        <w:pStyle w:val="ListBullet"/>
        <w:ind w:left="360" w:hanging="360"/>
      </w:pPr>
      <w:r>
        <w:rPr>
          <w:rFonts w:ascii="Calibri" w:hAnsi="Calibri"/>
          <w:b/>
          <w:color w:val="525866"/>
          <w:sz w:val="22"/>
        </w:rPr>
        <w:t>Middle East Input Cost Inflation — $30M Headwind:</w:t>
      </w:r>
      <w:r>
        <w:rPr>
          <w:rFonts w:ascii="Calibri" w:hAnsi="Calibri"/>
          <w:color w:val="525866"/>
          <w:sz w:val="22"/>
        </w:rPr>
        <w:t xml:space="preserve"> CHD's outlook reflects "approximately $30M in transitory cost pressures, including raw materials, transportation costs and various premiums resulting from the conflict in the Middle East," assuming crude oil at ~$90/bbl. This directly validates KMB's pre-disclosed input cost headwind and provides a useful calibration point — KMB's $50M Q2 bottom-line impact is proportionally larger, consistent with KMB's greater exposure to oil-derived inputs (diapers, tissue).</w:t>
      </w:r>
    </w:p>
    <w:p>
      <w:pPr>
        <w:pStyle w:val="ListBullet"/>
        <w:ind w:left="360" w:hanging="360"/>
      </w:pPr>
      <w:r>
        <w:rPr>
          <w:rFonts w:ascii="Calibri" w:hAnsi="Calibri"/>
          <w:b/>
          <w:color w:val="525866"/>
          <w:sz w:val="22"/>
        </w:rPr>
        <w:t>Retail Inventory Movements Immaterial:</w:t>
      </w:r>
      <w:r>
        <w:rPr>
          <w:rFonts w:ascii="Calibri" w:hAnsi="Calibri"/>
          <w:color w:val="525866"/>
          <w:sz w:val="22"/>
        </w:rPr>
        <w:t xml:space="preserve"> CHD stated retail inventory movements are "immaterial" and "not impactful enough to comment on." This is a mild positive read-through, suggesting that broad retailer destocking is not a systemic CPG headwind in Q2 2026 — though KMB's specific Costco/club channel situation is idiosyncratic.</w:t>
      </w:r>
    </w:p>
    <w:p>
      <w:pPr>
        <w:pStyle w:val="ListBullet"/>
        <w:ind w:left="360" w:hanging="360"/>
      </w:pPr>
      <w:r>
        <w:rPr>
          <w:rFonts w:ascii="Calibri" w:hAnsi="Calibri"/>
          <w:b/>
          <w:color w:val="525866"/>
          <w:sz w:val="22"/>
        </w:rPr>
        <w:t>Promotional Environment Elevated in Laundry:</w:t>
      </w:r>
      <w:r>
        <w:rPr>
          <w:rFonts w:ascii="Calibri" w:hAnsi="Calibri"/>
          <w:color w:val="525866"/>
          <w:sz w:val="22"/>
        </w:rPr>
        <w:t xml:space="preserve"> CHD noted the laundry category saw a significant increase in promotion in Q2 2026, with Henkel up 1,100 bps and P&amp;G up ~200 bps. CHD's belief is that "a lot of people got tariff refunds and they're spending it back" to drive volume. This elevated promotional backdrop is relevant context for KMB's own promotional investment decisions in North America.</w:t>
      </w:r>
    </w:p>
    <w:p>
      <w:pPr>
        <w:pStyle w:val="ListBullet"/>
        <w:ind w:left="360" w:hanging="360"/>
      </w:pPr>
      <w:r>
        <w:rPr>
          <w:rFonts w:ascii="Calibri" w:hAnsi="Calibri"/>
          <w:b/>
          <w:color w:val="525866"/>
          <w:sz w:val="22"/>
        </w:rPr>
        <w:t>Full-Year Organic Sales Outlook Raised to 4–5%:</w:t>
      </w:r>
      <w:r>
        <w:rPr>
          <w:rFonts w:ascii="Calibri" w:hAnsi="Calibri"/>
          <w:color w:val="525866"/>
          <w:sz w:val="22"/>
        </w:rPr>
        <w:t xml:space="preserve"> CHD raised its FY organic sales outlook from 3–4% to 4–5%, citing "strong first half execution." While CHD's portfolio is different from KMB's, this is a positive signal for the broader CPG category environment and supports KMB's own full-year organic growth target.</w:t>
      </w:r>
    </w:p>
    <w:p>
      <w:r>
        <w:rPr>
          <w:rFonts w:ascii="Calibri" w:hAnsi="Calibri"/>
          <w:i/>
          <w:color w:val="525866"/>
          <w:sz w:val="22"/>
        </w:rPr>
        <w:t>Source: Church &amp; Dwight Q2 2026 Earnings Call Transcript (July 31, 2026), documents/CHD/transcript/earnings/2026Q2/raw_document.txt.</w:t>
      </w:r>
    </w:p>
    <w:p>
      <w:pPr>
        <w:pStyle w:val="Heading3"/>
      </w:pPr>
      <w:r>
        <w:rPr>
          <w:rFonts w:ascii="Calibri" w:hAnsi="Calibri"/>
          <w:b/>
          <w:color w:val="3B4259"/>
          <w:sz w:val="24"/>
        </w:rPr>
        <w:t>Procter &amp; Gamble (PG) — Fiscal Q4 2026 Earnings (July 29, 2026)</w:t>
      </w:r>
    </w:p>
    <w:p>
      <w:r>
        <w:rPr>
          <w:rFonts w:ascii="Calibri" w:hAnsi="Calibri"/>
          <w:b/>
          <w:color w:val="525866"/>
          <w:sz w:val="22"/>
        </w:rPr>
        <w:t xml:space="preserve">Relevance: </w:t>
      </w:r>
      <w:r>
        <w:rPr>
          <w:rFonts w:ascii="Calibri" w:hAnsi="Calibri"/>
          <w:color w:val="525866"/>
          <w:sz w:val="22"/>
        </w:rPr>
        <w:t>PG's fiscal Q4 2026 covers April–June 2026, the same calendar quarter as KMB's Q2 2026. PG is KMB's most direct competitor in diapers (Pampers vs. Huggies), tissue, and personal care globally.</w:t>
      </w:r>
    </w:p>
    <w:p>
      <w:pPr>
        <w:pStyle w:val="ListBullet"/>
        <w:ind w:left="360" w:hanging="360"/>
      </w:pPr>
      <w:r>
        <w:rPr>
          <w:rFonts w:ascii="Calibri" w:hAnsi="Calibri"/>
          <w:b/>
          <w:color w:val="525866"/>
          <w:sz w:val="22"/>
        </w:rPr>
        <w:t>Sales Miss &amp; Soft Guidance:</w:t>
      </w:r>
      <w:r>
        <w:rPr>
          <w:rFonts w:ascii="Calibri" w:hAnsi="Calibri"/>
          <w:color w:val="525866"/>
          <w:sz w:val="22"/>
        </w:rPr>
        <w:t xml:space="preserve"> PG reported lower quarterly profit with sales missing expectations and issued a soft fiscal-year forecast below Wall Street consensus. The stock declined on results. This is a mild negative read-through for KMB's North America segment, suggesting the competitive environment in core categories (diapers, tissue) remained challenging in Q2 2026.</w:t>
      </w:r>
    </w:p>
    <w:p>
      <w:pPr>
        <w:pStyle w:val="ListBullet"/>
        <w:ind w:left="360" w:hanging="360"/>
      </w:pPr>
      <w:r>
        <w:rPr>
          <w:rFonts w:ascii="Calibri" w:hAnsi="Calibri"/>
          <w:b/>
          <w:color w:val="525866"/>
          <w:sz w:val="22"/>
        </w:rPr>
        <w:t>Inflation-Squeezed US Consumer:</w:t>
      </w:r>
      <w:r>
        <w:rPr>
          <w:rFonts w:ascii="Calibri" w:hAnsi="Calibri"/>
          <w:color w:val="525866"/>
          <w:sz w:val="22"/>
        </w:rPr>
        <w:t xml:space="preserve"> PG's CFO described the company "working harder to sell Tide and Bounty to inflation-squeezed consumers," indicating that value-seeking behavior and promotional pressure intensified in Q2 2026. This is consistent with KMB's own strategy of using price-pack adjustments and promotional investment to drive trial of new products.</w:t>
      </w:r>
    </w:p>
    <w:p>
      <w:pPr>
        <w:pStyle w:val="ListBullet"/>
        <w:ind w:left="360" w:hanging="360"/>
      </w:pPr>
      <w:r>
        <w:rPr>
          <w:rFonts w:ascii="Calibri" w:hAnsi="Calibri"/>
          <w:b/>
          <w:color w:val="525866"/>
          <w:sz w:val="22"/>
        </w:rPr>
        <w:t>Cautious Full-Year Outlook:</w:t>
      </w:r>
      <w:r>
        <w:rPr>
          <w:rFonts w:ascii="Calibri" w:hAnsi="Calibri"/>
          <w:color w:val="525866"/>
          <w:sz w:val="22"/>
        </w:rPr>
        <w:t xml:space="preserve"> PG's soft fiscal-year guidance is a mild negative read-through for the broader CPG sector, suggesting that the operating environment for H2 2026 is more uncertain than previously expected. This is relevant context for KMB's own unresolved H2 input cost risk.</w:t>
      </w:r>
    </w:p>
    <w:p>
      <w:r>
        <w:rPr>
          <w:rFonts w:ascii="Calibri" w:hAnsi="Calibri"/>
          <w:i/>
          <w:color w:val="525866"/>
          <w:sz w:val="22"/>
        </w:rPr>
        <w:t>Source: Procter &amp; Gamble Fiscal Q4 2026 Earnings (July 29, 2026); public news sources (Barron's, WSJ) dated July 29,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Reporting Period</w:t>
            </w:r>
          </w:p>
        </w:tc>
        <w:tc>
          <w:tcPr>
            <w:tcW w:type="dxa" w:w="2160"/>
            <w:shd w:val="clear" w:color="auto" w:fill="3B4259"/>
          </w:tcPr>
          <w:p>
            <w:r>
              <w:rPr>
                <w:rFonts w:ascii="Calibri" w:hAnsi="Calibri"/>
                <w:b/>
                <w:color w:val="FFFFFF"/>
                <w:sz w:val="22"/>
              </w:rPr>
              <w:t>Key Read-Through for KMB Q2 2026</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Colgate-Palmolive (CL)</w:t>
            </w:r>
          </w:p>
        </w:tc>
        <w:tc>
          <w:tcPr>
            <w:tcW w:type="dxa" w:w="2160"/>
          </w:tcPr>
          <w:p>
            <w:r>
              <w:rPr>
                <w:rFonts w:ascii="Calibri" w:hAnsi="Calibri"/>
                <w:sz w:val="22"/>
              </w:rPr>
              <w:t>Q2 2026 (Apr–Jun)</w:t>
            </w:r>
          </w:p>
        </w:tc>
        <w:tc>
          <w:tcPr>
            <w:tcW w:type="dxa" w:w="2160"/>
          </w:tcPr>
          <w:p>
            <w:r>
              <w:rPr>
                <w:rFonts w:ascii="Calibri" w:hAnsi="Calibri"/>
                <w:sz w:val="22"/>
              </w:rPr>
              <w:t>US category softness in May (gasoline prices, consumer uncertainty); recovery in June but below historical levels; heightened competitive activity; retailer inventory reductions; input costs peaking in H2</w:t>
            </w:r>
          </w:p>
        </w:tc>
        <w:tc>
          <w:tcPr>
            <w:tcW w:type="dxa" w:w="2160"/>
          </w:tcPr>
          <w:p>
            <w:r>
              <w:rPr>
                <w:rFonts w:ascii="Calibri" w:hAnsi="Calibri"/>
                <w:b/>
                <w:sz w:val="22"/>
              </w:rPr>
              <w:t>Mixed</w:t>
            </w:r>
          </w:p>
        </w:tc>
      </w:tr>
      <w:tr>
        <w:tc>
          <w:tcPr>
            <w:tcW w:type="dxa" w:w="2160"/>
          </w:tcPr>
          <w:p>
            <w:r>
              <w:rPr>
                <w:rFonts w:ascii="Calibri" w:hAnsi="Calibri"/>
                <w:sz w:val="22"/>
              </w:rPr>
              <w:t>Church &amp; Dwight (CHD)</w:t>
            </w:r>
          </w:p>
        </w:tc>
        <w:tc>
          <w:tcPr>
            <w:tcW w:type="dxa" w:w="2160"/>
          </w:tcPr>
          <w:p>
            <w:r>
              <w:rPr>
                <w:rFonts w:ascii="Calibri" w:hAnsi="Calibri"/>
                <w:sz w:val="22"/>
              </w:rPr>
              <w:t>Q2 2026 (Apr–Jun)</w:t>
            </w:r>
          </w:p>
        </w:tc>
        <w:tc>
          <w:tcPr>
            <w:tcW w:type="dxa" w:w="2160"/>
          </w:tcPr>
          <w:p>
            <w:r>
              <w:rPr>
                <w:rFonts w:ascii="Calibri" w:hAnsi="Calibri"/>
                <w:sz w:val="22"/>
              </w:rPr>
              <w:t>Consumer spending resilient; category growth 2.7% (above 2% expectation); $30M Middle East input cost headwind (validates KMB's $50M); retail inventory movements immaterial; elevated promotional activity in laundry</w:t>
            </w:r>
          </w:p>
        </w:tc>
        <w:tc>
          <w:tcPr>
            <w:tcW w:type="dxa" w:w="2160"/>
          </w:tcPr>
          <w:p>
            <w:r>
              <w:rPr>
                <w:rFonts w:ascii="Calibri" w:hAnsi="Calibri"/>
                <w:b/>
                <w:color w:val="30A46C"/>
                <w:sz w:val="22"/>
              </w:rPr>
              <w:t>Broadly Positive</w:t>
            </w:r>
          </w:p>
        </w:tc>
      </w:tr>
      <w:tr>
        <w:tc>
          <w:tcPr>
            <w:tcW w:type="dxa" w:w="2160"/>
          </w:tcPr>
          <w:p>
            <w:r>
              <w:rPr>
                <w:rFonts w:ascii="Calibri" w:hAnsi="Calibri"/>
                <w:sz w:val="22"/>
              </w:rPr>
              <w:t>Procter &amp; Gamble (PG)</w:t>
            </w:r>
          </w:p>
        </w:tc>
        <w:tc>
          <w:tcPr>
            <w:tcW w:type="dxa" w:w="2160"/>
          </w:tcPr>
          <w:p>
            <w:r>
              <w:rPr>
                <w:rFonts w:ascii="Calibri" w:hAnsi="Calibri"/>
                <w:sz w:val="22"/>
              </w:rPr>
              <w:t>Fiscal Q4 2026 (Apr–Jun)</w:t>
            </w:r>
          </w:p>
        </w:tc>
        <w:tc>
          <w:tcPr>
            <w:tcW w:type="dxa" w:w="2160"/>
          </w:tcPr>
          <w:p>
            <w:r>
              <w:rPr>
                <w:rFonts w:ascii="Calibri" w:hAnsi="Calibri"/>
                <w:sz w:val="22"/>
              </w:rPr>
              <w:t>Sales miss; soft FY guidance; inflation-squeezed US consumer; harder to sell core brands; cautious H2 outlook</w:t>
            </w:r>
          </w:p>
        </w:tc>
        <w:tc>
          <w:tcPr>
            <w:tcW w:type="dxa" w:w="2160"/>
          </w:tcPr>
          <w:p>
            <w:r>
              <w:rPr>
                <w:rFonts w:ascii="Calibri" w:hAnsi="Calibri"/>
                <w:b/>
                <w:color w:val="E5484D"/>
                <w:sz w:val="22"/>
              </w:rPr>
              <w:t>Mild Negative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