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vue-earnings-predictions--2026-08-06"/>
    <w:p>
      <w:pPr>
        <w:pStyle w:val="Heading1"/>
      </w:pPr>
      <w:r>
        <w:t xml:space="preserve">KVUE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KVUE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~$0.34 vs. cons $0.32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KVUE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Sales/Revenue (Q2 FY26)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~$4.03B vs. cons $4.00B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KVUE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Skin Health &amp; Beauty organic sales growth (Q2 FY26)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~4.0% vs. cons 5.0%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KVUE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formal guidance (suspended due to merger)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~withheld (implied $16.0B) vs. cons $16.0B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KVUE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Restructuring Initiative pre-tax charges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~$250M vs. cons $250M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KVUE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Deal timing (H2 2026 close, pending EU clearance)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~H2 2026 (0 new milestones) vs. cons H2 2026 (FY2026 close date)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KVUE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KVUE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-0.6% (FADE)</w:t>
            </w:r>
          </w:p>
        </w:tc>
        <w:tc>
          <w:tcPr/>
          <w:p>
            <w:pPr>
              <w:pStyle w:val="Compact"/>
            </w:pPr>
            <w:r>
              <w:t xml:space="preserve">With no call and no restored guidance, any initial idiosyncratic pop from the EPS beat is likely to fade as (1) Skin Health &amp; Beauty deceleration and continued Self Care softness raise implicit out-quarter estimate cuts even absent formal guidance, (2) the stock remains arbitrage-anchored to the fixed KMB exchange ratio (~$19.94 implied value) rather than standalone fundamentals, capping upside, and (3) the revived Tylenol autism litigation and pending EU merger clearance remain overhangs that dominate multi-day price action over fundamentals, pulling the initial reaction back toward the deal-implied spread within the week.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2026-08-06T00:52:54Z</dcterms:created>
  <dcterms:modified xsi:type="dcterms:W3CDTF">2026-08-06T00:52:54Z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