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vue-earnings-predictions--2026-08-06"/>
    <w:p>
      <w:pPr>
        <w:pStyle w:val="Heading1"/>
      </w:pPr>
      <w:r>
        <w:t xml:space="preserve">KVUE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~$4.00B vs. cons $3.97B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~$0.33 vs. cons $0.32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organic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~1.2% vs. cons 0.8%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Kimberly-Clark transaction closing timing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~2H 2026 vs. cons 2H 2026 (transaction closing period)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Restructuring charges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~$250M vs. cons $250M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Annualized restructuring savings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~$200M vs. cons $200M (run-rate upon completion)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(STABILIZE)</w:t>
            </w:r>
          </w:p>
        </w:tc>
        <w:tc>
          <w:tcPr/>
          <w:p>
            <w:pPr>
              <w:pStyle w:val="Compact"/>
            </w:pPr>
            <w:r>
              <w:t xml:space="preserve">A modest EPS and organic-sales beat should tighten the approximately 1.4% deal spread initially, but absent financial guidance or a more precise closing date there is little out-period estimate revision support; the cash-and-stock merger consideration and KMB price movements should re-anchor KVUE after the initial reaction.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2026-08-06T00:53:58Z</dcterms:created>
  <dcterms:modified xsi:type="dcterms:W3CDTF">2026-08-06T00:53:58Z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