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kenvue-q2-2026-earnings-preview"/>
    <w:p>
      <w:pPr>
        <w:pStyle w:val="Heading1"/>
      </w:pPr>
      <w:r>
        <w:t xml:space="preserve">Kenvue Q2 2026 Earnings Preview</w:t>
      </w:r>
    </w:p>
    <w:p>
      <w:pPr>
        <w:pStyle w:val="BlockText"/>
      </w:pPr>
      <w:r>
        <w:rPr>
          <w:b/>
          <w:bCs/>
        </w:rPr>
        <w:t xml:space="preserve">Timing note:</w:t>
      </w:r>
      <w:r>
        <w:t xml:space="preserve"> </w:t>
      </w:r>
      <w:r>
        <w:t xml:space="preserve">The event date provided—</w:t>
      </w:r>
      <w:r>
        <w:rPr>
          <w:b/>
          <w:bCs/>
        </w:rPr>
        <w:t xml:space="preserve">Thursday, August 6, 2026</w:t>
      </w:r>
      <w:r>
        <w:t xml:space="preserve">—is today, not tomorrow. Kenvue is scheduled to report</w:t>
      </w:r>
      <w:r>
        <w:t xml:space="preserve"> </w:t>
      </w:r>
      <w:r>
        <w:rPr>
          <w:b/>
          <w:bCs/>
        </w:rPr>
        <w:t xml:space="preserve">before the market opens</w:t>
      </w:r>
      <w:r>
        <w:t xml:space="preserve">. Consensus figures vary slightly by provider; the estimates below use approximately</w:t>
      </w:r>
      <w:r>
        <w:t xml:space="preserve"> </w:t>
      </w:r>
      <w:r>
        <w:rPr>
          <w:b/>
          <w:bCs/>
        </w:rPr>
        <w:t xml:space="preserve">$0.32 of adjusted EPS and $3.97 billion of revenue</w:t>
      </w:r>
      <w:r>
        <w:t xml:space="preserve">. (</w:t>
      </w:r>
      <w:hyperlink r:id="rId9">
        <w:r>
          <w:rPr>
            <w:rStyle w:val="Hyperlink"/>
          </w:rPr>
          <w:t xml:space="preserve">tipranks.com</w:t>
        </w:r>
      </w:hyperlink>
      <w:r>
        <w:t xml:space="preserve">)</w:t>
      </w:r>
    </w:p>
    <w:bookmarkStart w:id="11" w:name="executive-view"/>
    <w:p>
      <w:pPr>
        <w:pStyle w:val="Heading2"/>
      </w:pPr>
      <w:r>
        <w:t xml:space="preserve">Executive view</w:t>
      </w:r>
    </w:p>
    <w:p>
      <w:pPr>
        <w:pStyle w:val="FirstParagraph"/>
      </w:pPr>
      <w:r>
        <w:t xml:space="preserve">This is no longer a conventional earnings event. With Kenvue under agreement to be acquired by Kimberly-Clark, the stock is principally a</w:t>
      </w:r>
      <w:r>
        <w:t xml:space="preserve"> </w:t>
      </w:r>
      <w:r>
        <w:rPr>
          <w:b/>
          <w:bCs/>
        </w:rPr>
        <w:t xml:space="preserve">merger-arbitrage security</w:t>
      </w:r>
      <w:r>
        <w:t xml:space="preserve"> </w:t>
      </w:r>
      <w:r>
        <w:t xml:space="preserve">whose value depends on:</w:t>
      </w:r>
    </w:p>
    <w:p>
      <w:pPr>
        <w:pStyle w:val="Compact"/>
        <w:numPr>
          <w:ilvl w:val="0"/>
          <w:numId w:val="1001"/>
        </w:numPr>
      </w:pPr>
      <w:r>
        <w:t xml:space="preserve">Kimberly-Clark’s share price;</w:t>
      </w:r>
    </w:p>
    <w:p>
      <w:pPr>
        <w:pStyle w:val="Compact"/>
        <w:numPr>
          <w:ilvl w:val="0"/>
          <w:numId w:val="1001"/>
        </w:numPr>
      </w:pPr>
      <w:r>
        <w:t xml:space="preserve">regulatory approvals and closing timing;</w:t>
      </w:r>
    </w:p>
    <w:p>
      <w:pPr>
        <w:pStyle w:val="Compact"/>
        <w:numPr>
          <w:ilvl w:val="0"/>
          <w:numId w:val="1001"/>
        </w:numPr>
      </w:pPr>
      <w:r>
        <w:t xml:space="preserve">the condition of Kenvue’s business at closing; and</w:t>
      </w:r>
    </w:p>
    <w:p>
      <w:pPr>
        <w:pStyle w:val="Compact"/>
        <w:numPr>
          <w:ilvl w:val="0"/>
          <w:numId w:val="1001"/>
        </w:numPr>
      </w:pPr>
      <w:r>
        <w:t xml:space="preserve">whether Tylenol litigation creates additional risk for the transaction.</w:t>
      </w:r>
    </w:p>
    <w:p>
      <w:pPr>
        <w:pStyle w:val="FirstParagraph"/>
      </w:pPr>
      <w:r>
        <w:t xml:space="preserve">The quarter still matters, but a routine EPS beat is unlikely to change the investment case materially. The most important outcomes would be confirmation that:</w:t>
      </w:r>
    </w:p>
    <w:p>
      <w:pPr>
        <w:pStyle w:val="Compact"/>
        <w:numPr>
          <w:ilvl w:val="0"/>
          <w:numId w:val="1002"/>
        </w:numPr>
      </w:pPr>
      <w:r>
        <w:t xml:space="preserve">organic sales remain positive;</w:t>
      </w:r>
    </w:p>
    <w:p>
      <w:pPr>
        <w:pStyle w:val="Compact"/>
        <w:numPr>
          <w:ilvl w:val="0"/>
          <w:numId w:val="1002"/>
        </w:numPr>
      </w:pPr>
      <w:r>
        <w:t xml:space="preserve">volume improves rather than growth coming solely from pricing and currency;</w:t>
      </w:r>
    </w:p>
    <w:p>
      <w:pPr>
        <w:pStyle w:val="Compact"/>
        <w:numPr>
          <w:ilvl w:val="0"/>
          <w:numId w:val="1002"/>
        </w:numPr>
      </w:pPr>
      <w:r>
        <w:t xml:space="preserve">restructuring savings continue to support margins;</w:t>
      </w:r>
    </w:p>
    <w:p>
      <w:pPr>
        <w:pStyle w:val="Compact"/>
        <w:numPr>
          <w:ilvl w:val="0"/>
          <w:numId w:val="1002"/>
        </w:numPr>
      </w:pPr>
      <w:r>
        <w:t xml:space="preserve">Tylenol consumption and brand health remain stable following the July appellate ruling; and</w:t>
      </w:r>
    </w:p>
    <w:p>
      <w:pPr>
        <w:pStyle w:val="Compact"/>
        <w:numPr>
          <w:ilvl w:val="0"/>
          <w:numId w:val="1002"/>
        </w:numPr>
      </w:pPr>
      <w:r>
        <w:t xml:space="preserve">the Kimberly-Clark transaction remains on track for the second half of 2026.</w:t>
      </w:r>
    </w:p>
    <w:p>
      <w:pPr>
        <w:pStyle w:val="FirstParagraph"/>
      </w:pPr>
      <w:r>
        <w:t xml:space="preserve">Kenvue did not provide forward guidance last quarter and, because of the pending transaction, did not hold an earnings call. Investors should expect a similarly limited format this quarter. (</w:t>
      </w:r>
      <w:hyperlink r:id="rId10">
        <w:r>
          <w:rPr>
            <w:rStyle w:val="Hyperlink"/>
          </w:rPr>
          <w:t xml:space="preserve">investors.kenvue.com</w:t>
        </w:r>
      </w:hyperlink>
      <w:r>
        <w:t xml:space="preserve">)</w:t>
      </w:r>
    </w:p>
    <w:p>
      <w:r>
        <w:pict>
          <v:rect style="width:0;height:1.5pt" o:hralign="center" o:hrstd="t" o:hr="t"/>
        </w:pict>
      </w:r>
    </w:p>
    <w:bookmarkEnd w:id="11"/>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rPr>
                <w:b/>
                <w:bCs/>
              </w:rPr>
              <w:t xml:space="preserve">~$3.97B</w:t>
            </w:r>
          </w:p>
        </w:tc>
        <w:tc>
          <w:tcPr/>
          <w:p>
            <w:pPr>
              <w:pStyle w:val="Compact"/>
              <w:jc w:val="right"/>
            </w:pPr>
            <w:r>
              <w:t xml:space="preserve">$3.84B</w:t>
            </w:r>
          </w:p>
        </w:tc>
        <w:tc>
          <w:tcPr/>
          <w:p>
            <w:pPr>
              <w:pStyle w:val="Compact"/>
              <w:jc w:val="right"/>
            </w:pPr>
            <w:r>
              <w:rPr>
                <w:b/>
                <w:bCs/>
              </w:rPr>
              <w:t xml:space="preserve">~+3.4%</w:t>
            </w:r>
          </w:p>
        </w:tc>
      </w:tr>
      <w:tr>
        <w:tc>
          <w:tcPr/>
          <w:p>
            <w:pPr>
              <w:pStyle w:val="Compact"/>
            </w:pPr>
            <w:r>
              <w:t xml:space="preserve">Adjusted EPS</w:t>
            </w:r>
          </w:p>
        </w:tc>
        <w:tc>
          <w:tcPr/>
          <w:p>
            <w:pPr>
              <w:pStyle w:val="Compact"/>
              <w:jc w:val="right"/>
            </w:pPr>
            <w:r>
              <w:rPr>
                <w:b/>
                <w:bCs/>
              </w:rPr>
              <w:t xml:space="preserve">~$0.32</w:t>
            </w:r>
          </w:p>
        </w:tc>
        <w:tc>
          <w:tcPr/>
          <w:p>
            <w:pPr>
              <w:pStyle w:val="Compact"/>
              <w:jc w:val="right"/>
            </w:pPr>
            <w:r>
              <w:t xml:space="preserve">$0.29</w:t>
            </w:r>
          </w:p>
        </w:tc>
        <w:tc>
          <w:tcPr/>
          <w:p>
            <w:pPr>
              <w:pStyle w:val="Compact"/>
              <w:jc w:val="right"/>
            </w:pPr>
            <w:r>
              <w:rPr>
                <w:b/>
                <w:bCs/>
              </w:rPr>
              <w:t xml:space="preserve">~+10%</w:t>
            </w:r>
          </w:p>
        </w:tc>
      </w:tr>
      <w:tr>
        <w:tc>
          <w:tcPr/>
          <w:p>
            <w:pPr>
              <w:pStyle w:val="Compact"/>
            </w:pPr>
            <w:r>
              <w:t xml:space="preserve">Q1 2026 organic sales</w:t>
            </w:r>
          </w:p>
        </w:tc>
        <w:tc>
          <w:tcPr/>
          <w:p>
            <w:pPr>
              <w:pStyle w:val="Compact"/>
              <w:jc w:val="right"/>
            </w:pPr>
            <w:r>
              <w:t xml:space="preserve">—</w:t>
            </w:r>
          </w:p>
        </w:tc>
        <w:tc>
          <w:tcPr/>
          <w:p>
            <w:pPr>
              <w:pStyle w:val="Compact"/>
              <w:jc w:val="right"/>
            </w:pPr>
            <w:r>
              <w:t xml:space="preserve">+0.7%</w:t>
            </w:r>
          </w:p>
        </w:tc>
        <w:tc>
          <w:tcPr/>
          <w:p>
            <w:pPr>
              <w:pStyle w:val="Compact"/>
              <w:jc w:val="right"/>
            </w:pPr>
            <w:r>
              <w:t xml:space="preserve">Key starting point</w:t>
            </w:r>
          </w:p>
        </w:tc>
      </w:tr>
      <w:tr>
        <w:tc>
          <w:tcPr/>
          <w:p>
            <w:pPr>
              <w:pStyle w:val="Compact"/>
            </w:pPr>
            <w:r>
              <w:t xml:space="preserve">Q1 2026 adjusted gross margin</w:t>
            </w:r>
          </w:p>
        </w:tc>
        <w:tc>
          <w:tcPr/>
          <w:p>
            <w:pPr>
              <w:pStyle w:val="Compact"/>
              <w:jc w:val="right"/>
            </w:pPr>
            <w:r>
              <w:t xml:space="preserve">—</w:t>
            </w:r>
          </w:p>
        </w:tc>
        <w:tc>
          <w:tcPr/>
          <w:p>
            <w:pPr>
              <w:pStyle w:val="Compact"/>
              <w:jc w:val="right"/>
            </w:pPr>
            <w:r>
              <w:t xml:space="preserve">60.8%</w:t>
            </w:r>
          </w:p>
        </w:tc>
        <w:tc>
          <w:tcPr/>
          <w:p>
            <w:pPr>
              <w:pStyle w:val="Compact"/>
              <w:jc w:val="right"/>
            </w:pPr>
            <w:r>
              <w:t xml:space="preserve">+80 bps YoY</w:t>
            </w:r>
          </w:p>
        </w:tc>
      </w:tr>
      <w:tr>
        <w:tc>
          <w:tcPr/>
          <w:p>
            <w:pPr>
              <w:pStyle w:val="Compact"/>
            </w:pPr>
            <w:r>
              <w:t xml:space="preserve">Q1 2026 adjusted operating margin</w:t>
            </w:r>
          </w:p>
        </w:tc>
        <w:tc>
          <w:tcPr/>
          <w:p>
            <w:pPr>
              <w:pStyle w:val="Compact"/>
              <w:jc w:val="right"/>
            </w:pPr>
            <w:r>
              <w:t xml:space="preserve">—</w:t>
            </w:r>
          </w:p>
        </w:tc>
        <w:tc>
          <w:tcPr/>
          <w:p>
            <w:pPr>
              <w:pStyle w:val="Compact"/>
              <w:jc w:val="right"/>
            </w:pPr>
            <w:r>
              <w:t xml:space="preserve">24.0%</w:t>
            </w:r>
          </w:p>
        </w:tc>
        <w:tc>
          <w:tcPr/>
          <w:p>
            <w:pPr>
              <w:pStyle w:val="Compact"/>
              <w:jc w:val="right"/>
            </w:pPr>
            <w:r>
              <w:t xml:space="preserve">+420 bps YoY</w:t>
            </w:r>
          </w:p>
        </w:tc>
      </w:tr>
    </w:tbl>
    <w:p>
      <w:pPr>
        <w:pStyle w:val="BodyText"/>
      </w:pPr>
      <w:r>
        <w:t xml:space="preserve">The consensus revenue number implies a substantial reversal from Q2 2025, when organic sales declined 4.2%. However, reported growth should again benefit from currency, making</w:t>
      </w:r>
      <w:r>
        <w:t xml:space="preserve"> </w:t>
      </w:r>
      <w:r>
        <w:rPr>
          <w:b/>
          <w:bCs/>
        </w:rPr>
        <w:t xml:space="preserve">organic sales and volume</w:t>
      </w:r>
      <w:r>
        <w:t xml:space="preserve"> </w:t>
      </w:r>
      <w:r>
        <w:t xml:space="preserve">more informative than headline revenue.</w:t>
      </w:r>
    </w:p>
    <w:p>
      <w:r>
        <w:pict>
          <v:rect style="width:0;height:1.5pt" o:hralign="center" o:hrstd="t" o:hr="t"/>
        </w:pict>
      </w:r>
    </w:p>
    <w:bookmarkEnd w:id="12"/>
    <w:bookmarkStart w:id="13" w:name="the-operating-setup"/>
    <w:p>
      <w:pPr>
        <w:pStyle w:val="Heading2"/>
      </w:pPr>
      <w:r>
        <w:t xml:space="preserve">The operating setup</w:t>
      </w:r>
    </w:p>
    <w:p>
      <w:pPr>
        <w:pStyle w:val="FirstParagraph"/>
      </w:pPr>
      <w:r>
        <w:t xml:space="preserve">Kenvue entered Q2 with improving—but not yet fully convincing—fundamentals.</w:t>
      </w:r>
    </w:p>
    <w:p>
      <w:pPr>
        <w:pStyle w:val="BodyText"/>
      </w:pPr>
      <w:r>
        <w:t xml:space="preserve">In Q1:</w:t>
      </w:r>
    </w:p>
    <w:p>
      <w:pPr>
        <w:pStyle w:val="Compact"/>
        <w:numPr>
          <w:ilvl w:val="0"/>
          <w:numId w:val="1003"/>
        </w:numPr>
      </w:pPr>
      <w:r>
        <w:t xml:space="preserve">reported sales increased</w:t>
      </w:r>
      <w:r>
        <w:t xml:space="preserve"> </w:t>
      </w:r>
      <w:r>
        <w:rPr>
          <w:b/>
          <w:bCs/>
        </w:rPr>
        <w:t xml:space="preserve">4.5%</w:t>
      </w:r>
      <w:r>
        <w:t xml:space="preserve">;</w:t>
      </w:r>
    </w:p>
    <w:p>
      <w:pPr>
        <w:pStyle w:val="Compact"/>
        <w:numPr>
          <w:ilvl w:val="0"/>
          <w:numId w:val="1003"/>
        </w:numPr>
      </w:pPr>
      <w:r>
        <w:t xml:space="preserve">organic sales increased</w:t>
      </w:r>
      <w:r>
        <w:t xml:space="preserve"> </w:t>
      </w:r>
      <w:r>
        <w:rPr>
          <w:b/>
          <w:bCs/>
        </w:rPr>
        <w:t xml:space="preserve">0.7%</w:t>
      </w:r>
      <w:r>
        <w:t xml:space="preserve">;</w:t>
      </w:r>
    </w:p>
    <w:p>
      <w:pPr>
        <w:pStyle w:val="Compact"/>
        <w:numPr>
          <w:ilvl w:val="0"/>
          <w:numId w:val="1003"/>
        </w:numPr>
      </w:pPr>
      <w:r>
        <w:t xml:space="preserve">price/mix contributed</w:t>
      </w:r>
      <w:r>
        <w:t xml:space="preserve"> </w:t>
      </w:r>
      <w:r>
        <w:rPr>
          <w:b/>
          <w:bCs/>
        </w:rPr>
        <w:t xml:space="preserve">1.0%</w:t>
      </w:r>
      <w:r>
        <w:t xml:space="preserve">;</w:t>
      </w:r>
    </w:p>
    <w:p>
      <w:pPr>
        <w:pStyle w:val="Compact"/>
        <w:numPr>
          <w:ilvl w:val="0"/>
          <w:numId w:val="1003"/>
        </w:numPr>
      </w:pPr>
      <w:r>
        <w:t xml:space="preserve">volume declined</w:t>
      </w:r>
      <w:r>
        <w:t xml:space="preserve"> </w:t>
      </w:r>
      <w:r>
        <w:rPr>
          <w:b/>
          <w:bCs/>
        </w:rPr>
        <w:t xml:space="preserve">0.3%</w:t>
      </w:r>
      <w:r>
        <w:t xml:space="preserve">;</w:t>
      </w:r>
    </w:p>
    <w:p>
      <w:pPr>
        <w:pStyle w:val="Compact"/>
        <w:numPr>
          <w:ilvl w:val="0"/>
          <w:numId w:val="1003"/>
        </w:numPr>
      </w:pPr>
      <w:r>
        <w:t xml:space="preserve">adjusted EPS increased to</w:t>
      </w:r>
      <w:r>
        <w:t xml:space="preserve"> </w:t>
      </w:r>
      <w:r>
        <w:rPr>
          <w:b/>
          <w:bCs/>
        </w:rPr>
        <w:t xml:space="preserve">$0.32 from $0.24</w:t>
      </w:r>
      <w:r>
        <w:t xml:space="preserve">; and</w:t>
      </w:r>
    </w:p>
    <w:p>
      <w:pPr>
        <w:pStyle w:val="Compact"/>
        <w:numPr>
          <w:ilvl w:val="0"/>
          <w:numId w:val="1003"/>
        </w:numPr>
      </w:pPr>
      <w:r>
        <w:t xml:space="preserve">adjusted operating margin expanded to</w:t>
      </w:r>
      <w:r>
        <w:t xml:space="preserve"> </w:t>
      </w:r>
      <w:r>
        <w:rPr>
          <w:b/>
          <w:bCs/>
        </w:rPr>
        <w:t xml:space="preserve">24.0% from 19.8%</w:t>
      </w:r>
      <w:r>
        <w:t xml:space="preserve">.</w:t>
      </w:r>
    </w:p>
    <w:p>
      <w:pPr>
        <w:pStyle w:val="FirstParagraph"/>
      </w:pPr>
      <w:r>
        <w:t xml:space="preserve">The segment performance was uneven: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jc w:val="right"/>
            </w:pPr>
            <w:r>
              <w:t xml:space="preserve">Q1 organic sales</w:t>
            </w:r>
          </w:p>
        </w:tc>
        <w:tc>
          <w:tcPr/>
          <w:p>
            <w:pPr>
              <w:pStyle w:val="Compact"/>
              <w:jc w:val="right"/>
            </w:pPr>
            <w:r>
              <w:t xml:space="preserve">Volume</w:t>
            </w:r>
          </w:p>
        </w:tc>
        <w:tc>
          <w:tcPr/>
          <w:p>
            <w:pPr>
              <w:pStyle w:val="Compact"/>
            </w:pPr>
            <w:r>
              <w:t xml:space="preserve">What it indicated</w:t>
            </w:r>
          </w:p>
        </w:tc>
      </w:tr>
      <w:tr>
        <w:tc>
          <w:tcPr/>
          <w:p>
            <w:pPr>
              <w:pStyle w:val="Compact"/>
            </w:pPr>
            <w:r>
              <w:t xml:space="preserve">Self Care</w:t>
            </w:r>
          </w:p>
        </w:tc>
        <w:tc>
          <w:tcPr/>
          <w:p>
            <w:pPr>
              <w:pStyle w:val="Compact"/>
              <w:jc w:val="right"/>
            </w:pPr>
            <w:r>
              <w:rPr>
                <w:b/>
                <w:bCs/>
              </w:rPr>
              <w:t xml:space="preserve">-2.3%</w:t>
            </w:r>
          </w:p>
        </w:tc>
        <w:tc>
          <w:tcPr/>
          <w:p>
            <w:pPr>
              <w:pStyle w:val="Compact"/>
              <w:jc w:val="right"/>
            </w:pPr>
            <w:r>
              <w:t xml:space="preserve">-3.9%</w:t>
            </w:r>
          </w:p>
        </w:tc>
        <w:tc>
          <w:tcPr/>
          <w:p>
            <w:pPr>
              <w:pStyle w:val="Compact"/>
            </w:pPr>
            <w:r>
              <w:t xml:space="preserve">Weak cold-and-flu incidence remained a major drag</w:t>
            </w:r>
          </w:p>
        </w:tc>
      </w:tr>
      <w:tr>
        <w:tc>
          <w:tcPr/>
          <w:p>
            <w:pPr>
              <w:pStyle w:val="Compact"/>
            </w:pPr>
            <w:r>
              <w:t xml:space="preserve">Skin Health &amp; Beauty</w:t>
            </w:r>
          </w:p>
        </w:tc>
        <w:tc>
          <w:tcPr/>
          <w:p>
            <w:pPr>
              <w:pStyle w:val="Compact"/>
              <w:jc w:val="right"/>
            </w:pPr>
            <w:r>
              <w:rPr>
                <w:b/>
                <w:bCs/>
              </w:rPr>
              <w:t xml:space="preserve">+5.0%</w:t>
            </w:r>
          </w:p>
        </w:tc>
        <w:tc>
          <w:tcPr/>
          <w:p>
            <w:pPr>
              <w:pStyle w:val="Compact"/>
              <w:jc w:val="right"/>
            </w:pPr>
            <w:r>
              <w:t xml:space="preserve">+4.2%</w:t>
            </w:r>
          </w:p>
        </w:tc>
        <w:tc>
          <w:tcPr/>
          <w:p>
            <w:pPr>
              <w:pStyle w:val="Compact"/>
            </w:pPr>
            <w:r>
              <w:t xml:space="preserve">Innovation, e-commerce and international markets drove the recovery</w:t>
            </w:r>
          </w:p>
        </w:tc>
      </w:tr>
      <w:tr>
        <w:tc>
          <w:tcPr/>
          <w:p>
            <w:pPr>
              <w:pStyle w:val="Compact"/>
            </w:pPr>
            <w:r>
              <w:t xml:space="preserve">Essential Health</w:t>
            </w:r>
          </w:p>
        </w:tc>
        <w:tc>
          <w:tcPr/>
          <w:p>
            <w:pPr>
              <w:pStyle w:val="Compact"/>
              <w:jc w:val="right"/>
            </w:pPr>
            <w:r>
              <w:rPr>
                <w:b/>
                <w:bCs/>
              </w:rPr>
              <w:t xml:space="preserve">+1.5%</w:t>
            </w:r>
          </w:p>
        </w:tc>
        <w:tc>
          <w:tcPr/>
          <w:p>
            <w:pPr>
              <w:pStyle w:val="Compact"/>
              <w:jc w:val="right"/>
            </w:pPr>
            <w:r>
              <w:t xml:space="preserve">+1.4%</w:t>
            </w:r>
          </w:p>
        </w:tc>
        <w:tc>
          <w:tcPr/>
          <w:p>
            <w:pPr>
              <w:pStyle w:val="Compact"/>
            </w:pPr>
            <w:r>
              <w:t xml:space="preserve">Baby, oral and wound care produced modest volume-led growth</w:t>
            </w:r>
          </w:p>
        </w:tc>
      </w:tr>
    </w:tbl>
    <w:p>
      <w:pPr>
        <w:pStyle w:val="BodyText"/>
      </w:pPr>
      <w:r>
        <w:t xml:space="preserve">Kenvue’s Q1 results and cash flow improved meaningfully, but reported sales received a</w:t>
      </w:r>
      <w:r>
        <w:t xml:space="preserve"> </w:t>
      </w:r>
      <w:r>
        <w:rPr>
          <w:b/>
          <w:bCs/>
        </w:rPr>
        <w:t xml:space="preserve">3.8-percentage-point currency benefit</w:t>
      </w:r>
      <w:r>
        <w:t xml:space="preserve">. The core question for Q2 is whether the company can turn its early stabilization into</w:t>
      </w:r>
      <w:r>
        <w:t xml:space="preserve"> </w:t>
      </w:r>
      <w:r>
        <w:rPr>
          <w:b/>
          <w:bCs/>
        </w:rPr>
        <w:t xml:space="preserve">positive underlying volume growth</w:t>
      </w:r>
      <w:r>
        <w:t xml:space="preserve">. (</w:t>
      </w:r>
      <w:hyperlink r:id="rId10">
        <w:r>
          <w:rPr>
            <w:rStyle w:val="Hyperlink"/>
          </w:rPr>
          <w:t xml:space="preserve">investors.kenvue.com</w:t>
        </w:r>
      </w:hyperlink>
      <w:r>
        <w:t xml:space="preserve">)</w:t>
      </w:r>
    </w:p>
    <w:p>
      <w:r>
        <w:pict>
          <v:rect style="width:0;height:1.5pt" o:hralign="center" o:hrstd="t" o:hr="t"/>
        </w:pict>
      </w:r>
    </w:p>
    <w:bookmarkEnd w:id="13"/>
    <w:bookmarkStart w:id="22" w:name="what-investors-should-watch"/>
    <w:p>
      <w:pPr>
        <w:pStyle w:val="Heading2"/>
      </w:pPr>
      <w:r>
        <w:t xml:space="preserve">What investors should watch</w:t>
      </w:r>
    </w:p>
    <w:bookmarkStart w:id="14" w:name="X3fa71747cbefa7e44d86eadd7269f13e794c3e2"/>
    <w:p>
      <w:pPr>
        <w:pStyle w:val="Heading3"/>
      </w:pPr>
      <w:r>
        <w:t xml:space="preserve">1. Organic sales quality</w:t>
      </w:r>
    </w:p>
    <w:p>
      <w:pPr>
        <w:pStyle w:val="FirstParagraph"/>
      </w:pPr>
      <w:r>
        <w:t xml:space="preserve">The first number to find in the release should be organic sales—not reported revenue.</w:t>
      </w:r>
    </w:p>
    <w:p>
      <w:pPr>
        <w:pStyle w:val="BodyText"/>
      </w:pPr>
      <w:r>
        <w:t xml:space="preserve">A constructive result would include:</w:t>
      </w:r>
    </w:p>
    <w:p>
      <w:pPr>
        <w:pStyle w:val="Compact"/>
        <w:numPr>
          <w:ilvl w:val="0"/>
          <w:numId w:val="1004"/>
        </w:numPr>
      </w:pPr>
      <w:r>
        <w:t xml:space="preserve">organic growth of at least low single digits;</w:t>
      </w:r>
    </w:p>
    <w:p>
      <w:pPr>
        <w:pStyle w:val="Compact"/>
        <w:numPr>
          <w:ilvl w:val="0"/>
          <w:numId w:val="1004"/>
        </w:numPr>
      </w:pPr>
      <w:r>
        <w:t xml:space="preserve">positive consolidated volume;</w:t>
      </w:r>
    </w:p>
    <w:p>
      <w:pPr>
        <w:pStyle w:val="Compact"/>
        <w:numPr>
          <w:ilvl w:val="0"/>
          <w:numId w:val="1004"/>
        </w:numPr>
      </w:pPr>
      <w:r>
        <w:t xml:space="preserve">continued Skin Health &amp; Beauty growth;</w:t>
      </w:r>
    </w:p>
    <w:p>
      <w:pPr>
        <w:pStyle w:val="Compact"/>
        <w:numPr>
          <w:ilvl w:val="0"/>
          <w:numId w:val="1004"/>
        </w:numPr>
      </w:pPr>
      <w:r>
        <w:t xml:space="preserve">sequential improvement in Self Care; and</w:t>
      </w:r>
    </w:p>
    <w:p>
      <w:pPr>
        <w:pStyle w:val="Compact"/>
        <w:numPr>
          <w:ilvl w:val="0"/>
          <w:numId w:val="1004"/>
        </w:numPr>
      </w:pPr>
      <w:r>
        <w:t xml:space="preserve">limited reliance on price increases.</w:t>
      </w:r>
    </w:p>
    <w:p>
      <w:pPr>
        <w:pStyle w:val="FirstParagraph"/>
      </w:pPr>
      <w:r>
        <w:t xml:space="preserve">A result near the $3.97 billion revenue consensus could still be low quality if foreign exchange accounts for most of the growth. Conversely, modest headline revenue could be acceptable if underlying volume and U.S. consumption improve.</w:t>
      </w:r>
    </w:p>
    <w:bookmarkEnd w:id="14"/>
    <w:bookmarkStart w:id="16" w:name="X35acdc8dfc2f10d4cdd6e69ab9adc463bd79c10"/>
    <w:p>
      <w:pPr>
        <w:pStyle w:val="Heading3"/>
      </w:pPr>
      <w:r>
        <w:t xml:space="preserve">2. Self Care and Tylenol consumption</w:t>
      </w:r>
    </w:p>
    <w:p>
      <w:pPr>
        <w:pStyle w:val="FirstParagraph"/>
      </w:pPr>
      <w:r>
        <w:t xml:space="preserve">Self Care is Kenvue’s largest and most profitable segment. Q1 sales were hurt by weak cold-and-flu incidence, but management said Tylenol consumption, market share and brand-trust measures had improved sequentially.</w:t>
      </w:r>
    </w:p>
    <w:p>
      <w:pPr>
        <w:pStyle w:val="BodyText"/>
      </w:pPr>
      <w:r>
        <w:t xml:space="preserve">That trend now faces a new test. On</w:t>
      </w:r>
      <w:r>
        <w:t xml:space="preserve"> </w:t>
      </w:r>
      <w:r>
        <w:rPr>
          <w:b/>
          <w:bCs/>
        </w:rPr>
        <w:t xml:space="preserve">July 13, 2026</w:t>
      </w:r>
      <w:r>
        <w:t xml:space="preserve">, the Second Circuit vacated prior judgments and remanded hundreds of acetaminophen cases for further proceedings. The ruling concerned the admissibility of certain expert testimony and did</w:t>
      </w:r>
      <w:r>
        <w:t xml:space="preserve"> </w:t>
      </w:r>
      <w:r>
        <w:rPr>
          <w:b/>
          <w:bCs/>
        </w:rPr>
        <w:t xml:space="preserve">not</w:t>
      </w:r>
      <w:r>
        <w:t xml:space="preserve"> </w:t>
      </w:r>
      <w:r>
        <w:t xml:space="preserve">decide whether acetaminophen causes autism or ADHD. Kenvue continues to dispute the claims and is considering its legal options. (</w:t>
      </w:r>
      <w:hyperlink r:id="rId15">
        <w:r>
          <w:rPr>
            <w:rStyle w:val="Hyperlink"/>
          </w:rPr>
          <w:t xml:space="preserve">investing.com</w:t>
        </w:r>
      </w:hyperlink>
      <w:r>
        <w:t xml:space="preserve">)</w:t>
      </w:r>
    </w:p>
    <w:p>
      <w:pPr>
        <w:pStyle w:val="BodyText"/>
      </w:pPr>
      <w:r>
        <w:t xml:space="preserve">Investors should look for:</w:t>
      </w:r>
    </w:p>
    <w:p>
      <w:pPr>
        <w:pStyle w:val="Compact"/>
        <w:numPr>
          <w:ilvl w:val="0"/>
          <w:numId w:val="1005"/>
        </w:numPr>
      </w:pPr>
      <w:r>
        <w:t xml:space="preserve">any deterioration in Tylenol consumption since the ruling;</w:t>
      </w:r>
    </w:p>
    <w:p>
      <w:pPr>
        <w:pStyle w:val="Compact"/>
        <w:numPr>
          <w:ilvl w:val="0"/>
          <w:numId w:val="1005"/>
        </w:numPr>
      </w:pPr>
      <w:r>
        <w:t xml:space="preserve">changes in retailer inventory or promotional support;</w:t>
      </w:r>
    </w:p>
    <w:p>
      <w:pPr>
        <w:pStyle w:val="Compact"/>
        <w:numPr>
          <w:ilvl w:val="0"/>
          <w:numId w:val="1005"/>
        </w:numPr>
      </w:pPr>
      <w:r>
        <w:t xml:space="preserve">an updated assessment of brand trust;</w:t>
      </w:r>
    </w:p>
    <w:p>
      <w:pPr>
        <w:pStyle w:val="Compact"/>
        <w:numPr>
          <w:ilvl w:val="0"/>
          <w:numId w:val="1005"/>
        </w:numPr>
      </w:pPr>
      <w:r>
        <w:t xml:space="preserve">new litigation accruals or expanded risk disclosures; and</w:t>
      </w:r>
    </w:p>
    <w:p>
      <w:pPr>
        <w:pStyle w:val="Compact"/>
        <w:numPr>
          <w:ilvl w:val="0"/>
          <w:numId w:val="1005"/>
        </w:numPr>
      </w:pPr>
      <w:r>
        <w:t xml:space="preserve">any indication that legal developments are affecting the Kimberly-Clark process.</w:t>
      </w:r>
    </w:p>
    <w:p>
      <w:pPr>
        <w:pStyle w:val="FirstParagraph"/>
      </w:pPr>
      <w:r>
        <w:t xml:space="preserve">The legal issue matters more than its immediate quarterly expense. A worsening liability outlook could affect the perceived probability, timing or economics of the transaction.</w:t>
      </w:r>
    </w:p>
    <w:bookmarkEnd w:id="16"/>
    <w:bookmarkStart w:id="17" w:name="X34694b9ecb6514e7b2006609c747844ce981e70"/>
    <w:p>
      <w:pPr>
        <w:pStyle w:val="Heading3"/>
      </w:pPr>
      <w:r>
        <w:t xml:space="preserve">3. Margin durability</w:t>
      </w:r>
    </w:p>
    <w:p>
      <w:pPr>
        <w:pStyle w:val="FirstParagraph"/>
      </w:pPr>
      <w:r>
        <w:t xml:space="preserve">Q1’s strongest feature was profitability. Adjusted gross margin expanded 80 basis points and adjusted operating margin expanded 420 basis points despite tariffs, inflation and slightly lower volume.</w:t>
      </w:r>
    </w:p>
    <w:p>
      <w:pPr>
        <w:pStyle w:val="BodyText"/>
      </w:pPr>
      <w:r>
        <w:t xml:space="preserve">The improvement came from:</w:t>
      </w:r>
    </w:p>
    <w:p>
      <w:pPr>
        <w:pStyle w:val="Compact"/>
        <w:numPr>
          <w:ilvl w:val="0"/>
          <w:numId w:val="1006"/>
        </w:numPr>
      </w:pPr>
      <w:r>
        <w:t xml:space="preserve">supply-chain productivity;</w:t>
      </w:r>
    </w:p>
    <w:p>
      <w:pPr>
        <w:pStyle w:val="Compact"/>
        <w:numPr>
          <w:ilvl w:val="0"/>
          <w:numId w:val="1006"/>
        </w:numPr>
      </w:pPr>
      <w:r>
        <w:t xml:space="preserve">restructuring savings;</w:t>
      </w:r>
    </w:p>
    <w:p>
      <w:pPr>
        <w:pStyle w:val="Compact"/>
        <w:numPr>
          <w:ilvl w:val="0"/>
          <w:numId w:val="1006"/>
        </w:numPr>
      </w:pPr>
      <w:r>
        <w:t xml:space="preserve">pricing;</w:t>
      </w:r>
    </w:p>
    <w:p>
      <w:pPr>
        <w:pStyle w:val="Compact"/>
        <w:numPr>
          <w:ilvl w:val="0"/>
          <w:numId w:val="1006"/>
        </w:numPr>
      </w:pPr>
      <w:r>
        <w:t xml:space="preserve">lower administrative expenses;</w:t>
      </w:r>
    </w:p>
    <w:p>
      <w:pPr>
        <w:pStyle w:val="Compact"/>
        <w:numPr>
          <w:ilvl w:val="0"/>
          <w:numId w:val="1006"/>
        </w:numPr>
      </w:pPr>
      <w:r>
        <w:t xml:space="preserve">lower separation costs; and</w:t>
      </w:r>
    </w:p>
    <w:p>
      <w:pPr>
        <w:pStyle w:val="Compact"/>
        <w:numPr>
          <w:ilvl w:val="0"/>
          <w:numId w:val="1006"/>
        </w:numPr>
      </w:pPr>
      <w:r>
        <w:t xml:space="preserve">media-cost efficiencies.</w:t>
      </w:r>
    </w:p>
    <w:p>
      <w:pPr>
        <w:pStyle w:val="FirstParagraph"/>
      </w:pPr>
      <w:r>
        <w:t xml:space="preserve">For Q2, investors should distinguish between</w:t>
      </w:r>
      <w:r>
        <w:t xml:space="preserve"> </w:t>
      </w:r>
      <w:r>
        <w:rPr>
          <w:b/>
          <w:bCs/>
        </w:rPr>
        <w:t xml:space="preserve">repeatable productivity</w:t>
      </w:r>
      <w:r>
        <w:t xml:space="preserve"> </w:t>
      </w:r>
      <w:r>
        <w:t xml:space="preserve">and temporary expense timing. The cleanest outcome would be gross margin holding close to 61%, accompanied by continued operating-margin expansion without a material reduction in effective brand investment.</w:t>
      </w:r>
    </w:p>
    <w:p>
      <w:pPr>
        <w:pStyle w:val="BodyText"/>
      </w:pPr>
      <w:r>
        <w:t xml:space="preserve">A $0.32 adjusted EPS result would represent solid year-over-year growth, but the quality will depend on whether it comes from underlying profit expansion rather than unusually low marketing, taxes or other temporary benefits.</w:t>
      </w:r>
    </w:p>
    <w:bookmarkEnd w:id="17"/>
    <w:bookmarkStart w:id="19" w:name="Xb7ccc8ad6433eeb86f960674690c89e6475294a"/>
    <w:p>
      <w:pPr>
        <w:pStyle w:val="Heading3"/>
      </w:pPr>
      <w:r>
        <w:t xml:space="preserve">4. Restructuring execution</w:t>
      </w:r>
    </w:p>
    <w:p>
      <w:pPr>
        <w:pStyle w:val="FirstParagraph"/>
      </w:pPr>
      <w:r>
        <w:t xml:space="preserve">Kenvue’s 2026 restructuring program targets approximately:</w:t>
      </w:r>
    </w:p>
    <w:p>
      <w:pPr>
        <w:pStyle w:val="Compact"/>
        <w:numPr>
          <w:ilvl w:val="0"/>
          <w:numId w:val="1007"/>
        </w:numPr>
      </w:pPr>
      <w:r>
        <w:rPr>
          <w:b/>
          <w:bCs/>
        </w:rPr>
        <w:t xml:space="preserve">$250 million</w:t>
      </w:r>
      <w:r>
        <w:t xml:space="preserve"> </w:t>
      </w:r>
      <w:r>
        <w:t xml:space="preserve">of pretax charges during 2026; and</w:t>
      </w:r>
    </w:p>
    <w:p>
      <w:pPr>
        <w:pStyle w:val="Compact"/>
        <w:numPr>
          <w:ilvl w:val="0"/>
          <w:numId w:val="1007"/>
        </w:numPr>
      </w:pPr>
      <w:r>
        <w:rPr>
          <w:b/>
          <w:bCs/>
        </w:rPr>
        <w:t xml:space="preserve">$200 million</w:t>
      </w:r>
      <w:r>
        <w:t xml:space="preserve"> </w:t>
      </w:r>
      <w:r>
        <w:t xml:space="preserve">of annualized gross cost savings when complete.</w:t>
      </w:r>
    </w:p>
    <w:p>
      <w:pPr>
        <w:pStyle w:val="FirstParagraph"/>
      </w:pPr>
      <w:r>
        <w:t xml:space="preserve">The initiative is designed to simplify the operating model and transform the supply chain. Kenvue recorded $78 million of related costs in Q1.</w:t>
      </w:r>
    </w:p>
    <w:p>
      <w:pPr>
        <w:pStyle w:val="BodyText"/>
      </w:pPr>
      <w:r>
        <w:t xml:space="preserve">Investors should monitor:</w:t>
      </w:r>
    </w:p>
    <w:p>
      <w:pPr>
        <w:pStyle w:val="Compact"/>
        <w:numPr>
          <w:ilvl w:val="0"/>
          <w:numId w:val="1008"/>
        </w:numPr>
      </w:pPr>
      <w:r>
        <w:t xml:space="preserve">cumulative restructuring charges;</w:t>
      </w:r>
    </w:p>
    <w:p>
      <w:pPr>
        <w:pStyle w:val="Compact"/>
        <w:numPr>
          <w:ilvl w:val="0"/>
          <w:numId w:val="1008"/>
        </w:numPr>
      </w:pPr>
      <w:r>
        <w:t xml:space="preserve">savings realized to date;</w:t>
      </w:r>
    </w:p>
    <w:p>
      <w:pPr>
        <w:pStyle w:val="Compact"/>
        <w:numPr>
          <w:ilvl w:val="0"/>
          <w:numId w:val="1008"/>
        </w:numPr>
      </w:pPr>
      <w:r>
        <w:t xml:space="preserve">whether the $200 million target remains intact;</w:t>
      </w:r>
    </w:p>
    <w:p>
      <w:pPr>
        <w:pStyle w:val="Compact"/>
        <w:numPr>
          <w:ilvl w:val="0"/>
          <w:numId w:val="1008"/>
        </w:numPr>
      </w:pPr>
      <w:r>
        <w:t xml:space="preserve">implementation risk or business disruption; and</w:t>
      </w:r>
    </w:p>
    <w:p>
      <w:pPr>
        <w:pStyle w:val="Compact"/>
        <w:numPr>
          <w:ilvl w:val="0"/>
          <w:numId w:val="1008"/>
        </w:numPr>
      </w:pPr>
      <w:r>
        <w:t xml:space="preserve">how Kenvue’s standalone actions interact with Kimberly-Clark’s planned merger synergies.</w:t>
      </w:r>
    </w:p>
    <w:p>
      <w:pPr>
        <w:pStyle w:val="FirstParagraph"/>
      </w:pPr>
      <w:r>
        <w:t xml:space="preserve">Kimberly-Clark has said integration work is progressing and continues to target a second-half 2026 closing, subject to remaining approvals. (</w:t>
      </w:r>
      <w:hyperlink r:id="rId18">
        <w:r>
          <w:rPr>
            <w:rStyle w:val="Hyperlink"/>
          </w:rPr>
          <w:t xml:space="preserve">sec.gov</w:t>
        </w:r>
      </w:hyperlink>
      <w:r>
        <w:t xml:space="preserve">)</w:t>
      </w:r>
    </w:p>
    <w:bookmarkEnd w:id="19"/>
    <w:bookmarkStart w:id="20" w:name="Xce2ebb227a9aba30ed655b3808fb05cce690c72"/>
    <w:p>
      <w:pPr>
        <w:pStyle w:val="Heading3"/>
      </w:pPr>
      <w:r>
        <w:t xml:space="preserve">5. Merger closing and regulatory approvals</w:t>
      </w:r>
    </w:p>
    <w:p>
      <w:pPr>
        <w:pStyle w:val="FirstParagraph"/>
      </w:pPr>
      <w:r>
        <w:t xml:space="preserve">The agreed consideration is:</w:t>
      </w:r>
    </w:p>
    <w:p>
      <w:pPr>
        <w:pStyle w:val="Compact"/>
        <w:numPr>
          <w:ilvl w:val="0"/>
          <w:numId w:val="1009"/>
        </w:numPr>
      </w:pPr>
      <w:r>
        <w:rPr>
          <w:b/>
          <w:bCs/>
        </w:rPr>
        <w:t xml:space="preserve">$3.50 in cash</w:t>
      </w:r>
      <w:r>
        <w:t xml:space="preserve">, plus</w:t>
      </w:r>
    </w:p>
    <w:p>
      <w:pPr>
        <w:pStyle w:val="Compact"/>
        <w:numPr>
          <w:ilvl w:val="0"/>
          <w:numId w:val="1009"/>
        </w:numPr>
      </w:pPr>
      <w:r>
        <w:rPr>
          <w:b/>
          <w:bCs/>
        </w:rPr>
        <w:t xml:space="preserve">0.14625 Kimberly-Clark shares</w:t>
      </w:r>
      <w:r>
        <w:t xml:space="preserve"> </w:t>
      </w:r>
      <w:r>
        <w:t xml:space="preserve">for each KVUE share.</w:t>
      </w:r>
    </w:p>
    <w:p>
      <w:pPr>
        <w:pStyle w:val="FirstParagraph"/>
      </w:pPr>
      <w:r>
        <w:t xml:space="preserve">Using Kimberly-Clark’s August 5 closing price of approximately</w:t>
      </w:r>
      <w:r>
        <w:t xml:space="preserve"> </w:t>
      </w:r>
      <m:oMath>
        <m:r>
          <m:t>112.37</m:t>
        </m:r>
        <m:r>
          <m:rPr>
            <m:sty m:val="p"/>
          </m:rPr>
          <m:t>*</m:t>
        </m:r>
        <m:r>
          <m:rPr>
            <m:sty m:val="p"/>
          </m:rPr>
          <m:t>*</m:t>
        </m:r>
        <m:r>
          <m:rPr>
            <m:sty m:val="p"/>
          </m:rPr>
          <m:t>,</m:t>
        </m:r>
        <m:r>
          <m:t>t</m:t>
        </m:r>
        <m:r>
          <m:t>h</m:t>
        </m:r>
        <m:r>
          <m:t>e</m:t>
        </m:r>
        <m:r>
          <m:t>c</m:t>
        </m:r>
        <m:r>
          <m:t>o</m:t>
        </m:r>
        <m:r>
          <m:t>n</m:t>
        </m:r>
        <m:r>
          <m:t>s</m:t>
        </m:r>
        <m:r>
          <m:t>i</m:t>
        </m:r>
        <m:r>
          <m:t>d</m:t>
        </m:r>
        <m:r>
          <m:t>e</m:t>
        </m:r>
        <m:r>
          <m:t>r</m:t>
        </m:r>
        <m:r>
          <m:t>a</m:t>
        </m:r>
        <m:r>
          <m:t>t</m:t>
        </m:r>
        <m:r>
          <m:t>i</m:t>
        </m:r>
        <m:r>
          <m:t>o</m:t>
        </m:r>
        <m:r>
          <m:t>n</m:t>
        </m:r>
        <m:r>
          <m:t>w</m:t>
        </m:r>
        <m:r>
          <m:t>a</m:t>
        </m:r>
        <m:r>
          <m:t>s</m:t>
        </m:r>
        <m:r>
          <m:t>w</m:t>
        </m:r>
        <m:r>
          <m:t>o</m:t>
        </m:r>
        <m:r>
          <m:t>r</m:t>
        </m:r>
        <m:r>
          <m:t>t</m:t>
        </m:r>
        <m:r>
          <m:t>h</m:t>
        </m:r>
        <m:r>
          <m:t>a</m:t>
        </m:r>
        <m:r>
          <m:t>b</m:t>
        </m:r>
        <m:r>
          <m:t>o</m:t>
        </m:r>
        <m:r>
          <m:t>u</m:t>
        </m:r>
        <m:r>
          <m:t>t</m:t>
        </m:r>
        <m:r>
          <m:rPr>
            <m:sty m:val="p"/>
          </m:rPr>
          <m:t>*</m:t>
        </m:r>
        <m:r>
          <m:rPr>
            <m:sty m:val="p"/>
          </m:rPr>
          <m:t>*</m:t>
        </m:r>
      </m:oMath>
      <w:r>
        <w:rPr>
          <w:b/>
          <w:bCs/>
        </w:rPr>
        <w:t xml:space="preserve">19.93 per KVUE share</w:t>
      </w:r>
      <w:r>
        <w:t xml:space="preserve">, compared with KVUE at approximately</w:t>
      </w:r>
      <w:r>
        <w:t xml:space="preserve"> </w:t>
      </w:r>
      <w:r>
        <w:rPr>
          <w:b/>
          <w:bCs/>
        </w:rPr>
        <w:t xml:space="preserve">$19.67</w:t>
      </w:r>
      <w:r>
        <w:t xml:space="preserve">—a gross spread of roughly</w:t>
      </w:r>
      <w:r>
        <w:t xml:space="preserve"> </w:t>
      </w:r>
      <w:r>
        <w:rPr>
          <w:b/>
          <w:bCs/>
        </w:rPr>
        <w:t xml:space="preserve">1.3%</w:t>
      </w:r>
      <w:r>
        <w:t xml:space="preserve"> </w:t>
      </w:r>
      <w:r>
        <w:t xml:space="preserve">before dividends, time value and transaction risk.</w:t>
      </w:r>
    </w:p>
    <w:p>
      <w:pPr>
        <w:pStyle w:val="BodyText"/>
      </w:pPr>
      <w:r>
        <w:t xml:space="preserve">The narrow spread indicates that the market assigns a high probability to completion, but the consideration is mostly stock. KVUE investors therefore remain economically exposed to KMB’s share price.</w:t>
      </w:r>
    </w:p>
    <w:p>
      <w:pPr>
        <w:pStyle w:val="BodyText"/>
      </w:pPr>
      <w:r>
        <w:t xml:space="preserve">The most valuable transaction disclosures would be:</w:t>
      </w:r>
    </w:p>
    <w:p>
      <w:pPr>
        <w:pStyle w:val="Compact"/>
        <w:numPr>
          <w:ilvl w:val="0"/>
          <w:numId w:val="1010"/>
        </w:numPr>
      </w:pPr>
      <w:r>
        <w:t xml:space="preserve">specific foreign regulatory clearances received since Q1;</w:t>
      </w:r>
    </w:p>
    <w:p>
      <w:pPr>
        <w:pStyle w:val="Compact"/>
        <w:numPr>
          <w:ilvl w:val="0"/>
          <w:numId w:val="1010"/>
        </w:numPr>
      </w:pPr>
      <w:r>
        <w:t xml:space="preserve">a more precise closing window;</w:t>
      </w:r>
    </w:p>
    <w:p>
      <w:pPr>
        <w:pStyle w:val="Compact"/>
        <w:numPr>
          <w:ilvl w:val="0"/>
          <w:numId w:val="1010"/>
        </w:numPr>
      </w:pPr>
      <w:r>
        <w:t xml:space="preserve">confirmation that the July Tylenol ruling has not changed the process;</w:t>
      </w:r>
    </w:p>
    <w:p>
      <w:pPr>
        <w:pStyle w:val="Compact"/>
        <w:numPr>
          <w:ilvl w:val="0"/>
          <w:numId w:val="1010"/>
        </w:numPr>
      </w:pPr>
      <w:r>
        <w:t xml:space="preserve">no amendments to consideration or other deal terms; and</w:t>
      </w:r>
    </w:p>
    <w:p>
      <w:pPr>
        <w:pStyle w:val="Compact"/>
        <w:numPr>
          <w:ilvl w:val="0"/>
          <w:numId w:val="1010"/>
        </w:numPr>
      </w:pPr>
      <w:r>
        <w:t xml:space="preserve">evidence that employee, customer and supplier disruption remains manageable.</w:t>
      </w:r>
    </w:p>
    <w:p>
      <w:pPr>
        <w:pStyle w:val="FirstParagraph"/>
      </w:pPr>
      <w:r>
        <w:t xml:space="preserve">Kenvue shareholders have already approved the transaction, and the U.S. Hart-Scott-Rodino waiting period expired in February. Remaining foreign approvals are the principal stated closing condition. (</w:t>
      </w:r>
      <w:hyperlink r:id="rId10">
        <w:r>
          <w:rPr>
            <w:rStyle w:val="Hyperlink"/>
          </w:rPr>
          <w:t xml:space="preserve">investors.kenvue.com</w:t>
        </w:r>
      </w:hyperlink>
      <w:r>
        <w:t xml:space="preserve">)</w:t>
      </w:r>
    </w:p>
    <w:bookmarkEnd w:id="20"/>
    <w:bookmarkStart w:id="21" w:name="X8c1753c4361f41e5d529a6f55dc2170f42e2502"/>
    <w:p>
      <w:pPr>
        <w:pStyle w:val="Heading3"/>
      </w:pPr>
      <w:r>
        <w:t xml:space="preserve">6. Cash flow and balance sheet</w:t>
      </w:r>
    </w:p>
    <w:p>
      <w:pPr>
        <w:pStyle w:val="FirstParagraph"/>
      </w:pPr>
      <w:r>
        <w:t xml:space="preserve">Kenvue generated approximately</w:t>
      </w:r>
      <w:r>
        <w:t xml:space="preserve"> </w:t>
      </w:r>
      <m:oMath>
        <m:r>
          <m:t>0.4</m:t>
        </m:r>
        <m:r>
          <m:t>b</m:t>
        </m:r>
        <m:r>
          <m:t>i</m:t>
        </m:r>
        <m:r>
          <m:t>l</m:t>
        </m:r>
        <m:r>
          <m:t>l</m:t>
        </m:r>
        <m:r>
          <m:t>i</m:t>
        </m:r>
        <m:r>
          <m:t>o</m:t>
        </m:r>
        <m:r>
          <m:t>n</m:t>
        </m:r>
        <m:r>
          <m:t>o</m:t>
        </m:r>
        <m:r>
          <m:t>f</m:t>
        </m:r>
        <m:r>
          <m:t>f</m:t>
        </m:r>
        <m:r>
          <m:t>r</m:t>
        </m:r>
        <m:r>
          <m:t>e</m:t>
        </m:r>
        <m:r>
          <m:t>e</m:t>
        </m:r>
        <m:r>
          <m:t>c</m:t>
        </m:r>
        <m:r>
          <m:t>a</m:t>
        </m:r>
        <m:r>
          <m:t>s</m:t>
        </m:r>
        <m:r>
          <m:t>h</m:t>
        </m:r>
        <m:r>
          <m:t>f</m:t>
        </m:r>
        <m:r>
          <m:t>l</m:t>
        </m:r>
        <m:r>
          <m:t>o</m:t>
        </m:r>
        <m:r>
          <m:t>w</m:t>
        </m:r>
        <m:r>
          <m:rPr>
            <m:sty m:val="p"/>
          </m:rPr>
          <m:t>*</m:t>
        </m:r>
        <m:r>
          <m:rPr>
            <m:sty m:val="p"/>
          </m:rPr>
          <m:t>*</m:t>
        </m:r>
        <m:r>
          <m:t>i</m:t>
        </m:r>
        <m:r>
          <m:t>n</m:t>
        </m:r>
        <m:r>
          <m:t>Q</m:t>
        </m:r>
        <m:r>
          <m:t>1</m:t>
        </m:r>
        <m:r>
          <m:rPr>
            <m:sty m:val="p"/>
          </m:rPr>
          <m:t>,</m:t>
        </m:r>
        <m:r>
          <m:t>w</m:t>
        </m:r>
        <m:r>
          <m:t>h</m:t>
        </m:r>
        <m:r>
          <m:t>i</m:t>
        </m:r>
        <m:r>
          <m:t>l</m:t>
        </m:r>
        <m:r>
          <m:t>e</m:t>
        </m:r>
        <m:r>
          <m:t>t</m:t>
        </m:r>
        <m:r>
          <m:t>o</m:t>
        </m:r>
        <m:r>
          <m:t>t</m:t>
        </m:r>
        <m:r>
          <m:t>a</m:t>
        </m:r>
        <m:r>
          <m:t>l</m:t>
        </m:r>
        <m:r>
          <m:t>d</m:t>
        </m:r>
        <m:r>
          <m:t>e</m:t>
        </m:r>
        <m:r>
          <m:t>b</m:t>
        </m:r>
        <m:r>
          <m:t>t</m:t>
        </m:r>
        <m:r>
          <m:t>e</m:t>
        </m:r>
        <m:r>
          <m:t>n</m:t>
        </m:r>
        <m:r>
          <m:t>d</m:t>
        </m:r>
        <m:r>
          <m:t>e</m:t>
        </m:r>
        <m:r>
          <m:t>d</m:t>
        </m:r>
        <m:r>
          <m:t>t</m:t>
        </m:r>
        <m:r>
          <m:t>h</m:t>
        </m:r>
        <m:r>
          <m:t>e</m:t>
        </m:r>
        <m:r>
          <m:t>q</m:t>
        </m:r>
        <m:r>
          <m:t>u</m:t>
        </m:r>
        <m:r>
          <m:t>a</m:t>
        </m:r>
        <m:r>
          <m:t>r</m:t>
        </m:r>
        <m:r>
          <m:t>t</m:t>
        </m:r>
        <m:r>
          <m:t>e</m:t>
        </m:r>
        <m:r>
          <m:t>r</m:t>
        </m:r>
        <m:r>
          <m:t>a</m:t>
        </m:r>
        <m:r>
          <m:t>t</m:t>
        </m:r>
        <m:r>
          <m:t>r</m:t>
        </m:r>
        <m:r>
          <m:t>o</m:t>
        </m:r>
        <m:r>
          <m:t>u</m:t>
        </m:r>
        <m:r>
          <m:t>g</m:t>
        </m:r>
        <m:r>
          <m:t>h</m:t>
        </m:r>
        <m:r>
          <m:t>l</m:t>
        </m:r>
        <m:r>
          <m:t>y</m:t>
        </m:r>
        <m:r>
          <m:rPr>
            <m:sty m:val="p"/>
          </m:rPr>
          <m:t>*</m:t>
        </m:r>
        <m:r>
          <m:rPr>
            <m:sty m:val="p"/>
          </m:rPr>
          <m:t>*</m:t>
        </m:r>
      </m:oMath>
      <w:r>
        <w:rPr>
          <w:b/>
          <w:bCs/>
        </w:rPr>
        <w:t xml:space="preserve">8.7 billion</w:t>
      </w:r>
      <w:r>
        <w:t xml:space="preserve"> </w:t>
      </w:r>
      <w:r>
        <w:t xml:space="preserve">and net debt at about</w:t>
      </w:r>
      <w:r>
        <w:t xml:space="preserve"> </w:t>
      </w:r>
      <w:r>
        <w:rPr>
          <w:b/>
          <w:bCs/>
        </w:rPr>
        <w:t xml:space="preserve">$7.6 billion</w:t>
      </w:r>
      <w:r>
        <w:t xml:space="preserve">.</w:t>
      </w:r>
    </w:p>
    <w:p>
      <w:pPr>
        <w:pStyle w:val="BodyText"/>
      </w:pPr>
      <w:r>
        <w:t xml:space="preserve">Cash flow is unlikely to be the main stock driver, but investors should watch for:</w:t>
      </w:r>
    </w:p>
    <w:p>
      <w:pPr>
        <w:pStyle w:val="Compact"/>
        <w:numPr>
          <w:ilvl w:val="0"/>
          <w:numId w:val="1011"/>
        </w:numPr>
      </w:pPr>
      <w:r>
        <w:t xml:space="preserve">working-capital deterioration;</w:t>
      </w:r>
    </w:p>
    <w:p>
      <w:pPr>
        <w:pStyle w:val="Compact"/>
        <w:numPr>
          <w:ilvl w:val="0"/>
          <w:numId w:val="1011"/>
        </w:numPr>
      </w:pPr>
      <w:r>
        <w:t xml:space="preserve">restructuring and transaction cash costs;</w:t>
      </w:r>
    </w:p>
    <w:p>
      <w:pPr>
        <w:pStyle w:val="Compact"/>
        <w:numPr>
          <w:ilvl w:val="0"/>
          <w:numId w:val="1011"/>
        </w:numPr>
      </w:pPr>
      <w:r>
        <w:t xml:space="preserve">capital-expenditure timing;</w:t>
      </w:r>
    </w:p>
    <w:p>
      <w:pPr>
        <w:pStyle w:val="Compact"/>
        <w:numPr>
          <w:ilvl w:val="0"/>
          <w:numId w:val="1011"/>
        </w:numPr>
      </w:pPr>
      <w:r>
        <w:t xml:space="preserve">commercial-paper balances; and</w:t>
      </w:r>
    </w:p>
    <w:p>
      <w:pPr>
        <w:pStyle w:val="Compact"/>
        <w:numPr>
          <w:ilvl w:val="0"/>
          <w:numId w:val="1011"/>
        </w:numPr>
      </w:pPr>
      <w:r>
        <w:t xml:space="preserve">confirmation of the regular dividend.</w:t>
      </w:r>
    </w:p>
    <w:p>
      <w:pPr>
        <w:pStyle w:val="FirstParagraph"/>
      </w:pPr>
      <w:r>
        <w:t xml:space="preserve">A healthy cash-conversion result would support the view that Kenvue will enter the combination without incremental balance-sheet complications.</w:t>
      </w:r>
    </w:p>
    <w:p>
      <w:r>
        <w:pict>
          <v:rect style="width:0;height:1.5pt" o:hralign="center" o:hrstd="t" o:hr="t"/>
        </w:pict>
      </w:r>
    </w:p>
    <w:bookmarkEnd w:id="21"/>
    <w:bookmarkEnd w:id="22"/>
    <w:bookmarkStart w:id="26" w:name="scenario-framework"/>
    <w:p>
      <w:pPr>
        <w:pStyle w:val="Heading2"/>
      </w:pPr>
      <w:r>
        <w:t xml:space="preserve">Scenario framework</w:t>
      </w:r>
    </w:p>
    <w:bookmarkStart w:id="23" w:name="bull-case"/>
    <w:p>
      <w:pPr>
        <w:pStyle w:val="Heading3"/>
      </w:pPr>
      <w:r>
        <w:t xml:space="preserve">Bull case</w:t>
      </w:r>
    </w:p>
    <w:p>
      <w:pPr>
        <w:pStyle w:val="Compact"/>
        <w:numPr>
          <w:ilvl w:val="0"/>
          <w:numId w:val="1012"/>
        </w:numPr>
      </w:pPr>
      <w:r>
        <w:t xml:space="preserve">Revenue exceeds $4.0 billion.</w:t>
      </w:r>
    </w:p>
    <w:p>
      <w:pPr>
        <w:pStyle w:val="Compact"/>
        <w:numPr>
          <w:ilvl w:val="0"/>
          <w:numId w:val="1012"/>
        </w:numPr>
      </w:pPr>
      <w:r>
        <w:t xml:space="preserve">Organic sales reach approximately 2% or better.</w:t>
      </w:r>
    </w:p>
    <w:p>
      <w:pPr>
        <w:pStyle w:val="Compact"/>
        <w:numPr>
          <w:ilvl w:val="0"/>
          <w:numId w:val="1012"/>
        </w:numPr>
      </w:pPr>
      <w:r>
        <w:t xml:space="preserve">Consolidated volume turns positive.</w:t>
      </w:r>
    </w:p>
    <w:p>
      <w:pPr>
        <w:pStyle w:val="Compact"/>
        <w:numPr>
          <w:ilvl w:val="0"/>
          <w:numId w:val="1012"/>
        </w:numPr>
      </w:pPr>
      <w:r>
        <w:t xml:space="preserve">Self Care improves despite weak seasonal incidence and litigation headlines.</w:t>
      </w:r>
    </w:p>
    <w:p>
      <w:pPr>
        <w:pStyle w:val="Compact"/>
        <w:numPr>
          <w:ilvl w:val="0"/>
          <w:numId w:val="1012"/>
        </w:numPr>
      </w:pPr>
      <w:r>
        <w:t xml:space="preserve">Skin Health &amp; Beauty sustains mid-single-digit organic growth.</w:t>
      </w:r>
    </w:p>
    <w:p>
      <w:pPr>
        <w:pStyle w:val="Compact"/>
        <w:numPr>
          <w:ilvl w:val="0"/>
          <w:numId w:val="1012"/>
        </w:numPr>
      </w:pPr>
      <w:r>
        <w:t xml:space="preserve">Adjusted gross margin remains around or above 61%.</w:t>
      </w:r>
    </w:p>
    <w:p>
      <w:pPr>
        <w:pStyle w:val="Compact"/>
        <w:numPr>
          <w:ilvl w:val="0"/>
          <w:numId w:val="1012"/>
        </w:numPr>
      </w:pPr>
      <w:r>
        <w:t xml:space="preserve">Adjusted EPS exceeds $0.32.</w:t>
      </w:r>
    </w:p>
    <w:p>
      <w:pPr>
        <w:pStyle w:val="Compact"/>
        <w:numPr>
          <w:ilvl w:val="0"/>
          <w:numId w:val="1012"/>
        </w:numPr>
      </w:pPr>
      <w:r>
        <w:t xml:space="preserve">No new material Tylenol accrual or consumption deterioration.</w:t>
      </w:r>
    </w:p>
    <w:p>
      <w:pPr>
        <w:pStyle w:val="Compact"/>
        <w:numPr>
          <w:ilvl w:val="0"/>
          <w:numId w:val="1012"/>
        </w:numPr>
      </w:pPr>
      <w:r>
        <w:t xml:space="preserve">Management provides a clearer and reassuring merger-closing timetable.</w:t>
      </w:r>
    </w:p>
    <w:p>
      <w:pPr>
        <w:pStyle w:val="FirstParagraph"/>
      </w:pPr>
      <w:r>
        <w:rPr>
          <w:b/>
          <w:bCs/>
        </w:rPr>
        <w:t xml:space="preserve">Likely market implication:</w:t>
      </w:r>
      <w:r>
        <w:t xml:space="preserve"> </w:t>
      </w:r>
      <w:r>
        <w:t xml:space="preserve">The deal spread tightens, although upside may remain limited by the merger consideration and movements in KMB shares.</w:t>
      </w:r>
    </w:p>
    <w:bookmarkEnd w:id="23"/>
    <w:bookmarkStart w:id="24" w:name="base-case"/>
    <w:p>
      <w:pPr>
        <w:pStyle w:val="Heading3"/>
      </w:pPr>
      <w:r>
        <w:t xml:space="preserve">Base case</w:t>
      </w:r>
    </w:p>
    <w:p>
      <w:pPr>
        <w:pStyle w:val="Compact"/>
        <w:numPr>
          <w:ilvl w:val="0"/>
          <w:numId w:val="1013"/>
        </w:numPr>
      </w:pPr>
      <w:r>
        <w:t xml:space="preserve">Revenue is near the $3.97 billion consensus.</w:t>
      </w:r>
    </w:p>
    <w:p>
      <w:pPr>
        <w:pStyle w:val="Compact"/>
        <w:numPr>
          <w:ilvl w:val="0"/>
          <w:numId w:val="1013"/>
        </w:numPr>
      </w:pPr>
      <w:r>
        <w:t xml:space="preserve">Organic sales are roughly flat to up 1%.</w:t>
      </w:r>
    </w:p>
    <w:p>
      <w:pPr>
        <w:pStyle w:val="Compact"/>
        <w:numPr>
          <w:ilvl w:val="0"/>
          <w:numId w:val="1013"/>
        </w:numPr>
      </w:pPr>
      <w:r>
        <w:t xml:space="preserve">Currency remains an important contributor to reported growth.</w:t>
      </w:r>
    </w:p>
    <w:p>
      <w:pPr>
        <w:pStyle w:val="Compact"/>
        <w:numPr>
          <w:ilvl w:val="0"/>
          <w:numId w:val="1013"/>
        </w:numPr>
      </w:pPr>
      <w:r>
        <w:t xml:space="preserve">Adjusted EPS is around $0.32.</w:t>
      </w:r>
    </w:p>
    <w:p>
      <w:pPr>
        <w:pStyle w:val="Compact"/>
        <w:numPr>
          <w:ilvl w:val="0"/>
          <w:numId w:val="1013"/>
        </w:numPr>
      </w:pPr>
      <w:r>
        <w:t xml:space="preserve">Margin savings offset tariffs and subdued volume.</w:t>
      </w:r>
    </w:p>
    <w:p>
      <w:pPr>
        <w:pStyle w:val="Compact"/>
        <w:numPr>
          <w:ilvl w:val="0"/>
          <w:numId w:val="1013"/>
        </w:numPr>
      </w:pPr>
      <w:r>
        <w:t xml:space="preserve">The transaction remains on track for the second half, without a more precise date.</w:t>
      </w:r>
    </w:p>
    <w:p>
      <w:pPr>
        <w:pStyle w:val="Compact"/>
        <w:numPr>
          <w:ilvl w:val="0"/>
          <w:numId w:val="1013"/>
        </w:numPr>
      </w:pPr>
      <w:r>
        <w:t xml:space="preserve">Tylenol legal disclosures change modestly but do not alter the deal thesis.</w:t>
      </w:r>
    </w:p>
    <w:p>
      <w:pPr>
        <w:pStyle w:val="FirstParagraph"/>
      </w:pPr>
      <w:r>
        <w:rPr>
          <w:b/>
          <w:bCs/>
        </w:rPr>
        <w:t xml:space="preserve">Likely market implication:</w:t>
      </w:r>
      <w:r>
        <w:t xml:space="preserve"> </w:t>
      </w:r>
      <w:r>
        <w:t xml:space="preserve">Limited reaction; KVUE continues trading largely as a discounted claim on cash plus KMB stock.</w:t>
      </w:r>
    </w:p>
    <w:bookmarkEnd w:id="24"/>
    <w:bookmarkStart w:id="25" w:name="bear-case"/>
    <w:p>
      <w:pPr>
        <w:pStyle w:val="Heading3"/>
      </w:pPr>
      <w:r>
        <w:t xml:space="preserve">Bear case</w:t>
      </w:r>
    </w:p>
    <w:p>
      <w:pPr>
        <w:pStyle w:val="Compact"/>
        <w:numPr>
          <w:ilvl w:val="0"/>
          <w:numId w:val="1014"/>
        </w:numPr>
      </w:pPr>
      <w:r>
        <w:t xml:space="preserve">Organic sales return to contraction.</w:t>
      </w:r>
    </w:p>
    <w:p>
      <w:pPr>
        <w:pStyle w:val="Compact"/>
        <w:numPr>
          <w:ilvl w:val="0"/>
          <w:numId w:val="1014"/>
        </w:numPr>
      </w:pPr>
      <w:r>
        <w:t xml:space="preserve">Volume remains negative across multiple segments.</w:t>
      </w:r>
    </w:p>
    <w:p>
      <w:pPr>
        <w:pStyle w:val="Compact"/>
        <w:numPr>
          <w:ilvl w:val="0"/>
          <w:numId w:val="1014"/>
        </w:numPr>
      </w:pPr>
      <w:r>
        <w:t xml:space="preserve">Tylenol consumption weakens or retailers reduce inventory.</w:t>
      </w:r>
    </w:p>
    <w:p>
      <w:pPr>
        <w:pStyle w:val="Compact"/>
        <w:numPr>
          <w:ilvl w:val="0"/>
          <w:numId w:val="1014"/>
        </w:numPr>
      </w:pPr>
      <w:r>
        <w:t xml:space="preserve">Skin Health &amp; Beauty loses momentum.</w:t>
      </w:r>
    </w:p>
    <w:p>
      <w:pPr>
        <w:pStyle w:val="Compact"/>
        <w:numPr>
          <w:ilvl w:val="0"/>
          <w:numId w:val="1014"/>
        </w:numPr>
      </w:pPr>
      <w:r>
        <w:t xml:space="preserve">Gross-margin gains reverse because of tariffs, inflation or promotional spending.</w:t>
      </w:r>
    </w:p>
    <w:p>
      <w:pPr>
        <w:pStyle w:val="Compact"/>
        <w:numPr>
          <w:ilvl w:val="0"/>
          <w:numId w:val="1014"/>
        </w:numPr>
      </w:pPr>
      <w:r>
        <w:t xml:space="preserve">New litigation accruals or more cautionary language appear.</w:t>
      </w:r>
    </w:p>
    <w:p>
      <w:pPr>
        <w:pStyle w:val="Compact"/>
        <w:numPr>
          <w:ilvl w:val="0"/>
          <w:numId w:val="1014"/>
        </w:numPr>
      </w:pPr>
      <w:r>
        <w:t xml:space="preserve">Foreign approvals or closing timing become less certain.</w:t>
      </w:r>
    </w:p>
    <w:p>
      <w:pPr>
        <w:pStyle w:val="FirstParagraph"/>
      </w:pPr>
      <w:r>
        <w:rPr>
          <w:b/>
          <w:bCs/>
        </w:rPr>
        <w:t xml:space="preserve">Likely market implication:</w:t>
      </w:r>
      <w:r>
        <w:t xml:space="preserve"> </w:t>
      </w:r>
      <w:r>
        <w:t xml:space="preserve">The merger spread widens, potentially amplified by weakness in KMB shares.</w:t>
      </w:r>
    </w:p>
    <w:p>
      <w:r>
        <w:pict>
          <v:rect style="width:0;height:1.5pt" o:hralign="center" o:hrstd="t" o:hr="t"/>
        </w:pict>
      </w:r>
    </w:p>
    <w:bookmarkEnd w:id="25"/>
    <w:bookmarkEnd w:id="26"/>
    <w:bookmarkStart w:id="27" w:name="bottom-line"/>
    <w:p>
      <w:pPr>
        <w:pStyle w:val="Heading2"/>
      </w:pPr>
      <w:r>
        <w:t xml:space="preserve">Bottom line</w:t>
      </w:r>
    </w:p>
    <w:p>
      <w:pPr>
        <w:pStyle w:val="FirstParagraph"/>
      </w:pPr>
      <w:r>
        <w:t xml:space="preserve">The key question is not simply whether Kenvue beats</w:t>
      </w:r>
      <w:r>
        <w:t xml:space="preserve"> </w:t>
      </w:r>
      <w:r>
        <w:rPr>
          <w:b/>
          <w:bCs/>
        </w:rPr>
        <w:t xml:space="preserve">$0.32 of adjusted EPS</w:t>
      </w:r>
      <w:r>
        <w:t xml:space="preserve">. It is whether the report supports the market’s high confidence that Kimberly-Clark will acquire a stable or improving business on the agreed timetable.</w:t>
      </w:r>
    </w:p>
    <w:p>
      <w:pPr>
        <w:pStyle w:val="BodyText"/>
      </w:pPr>
      <w:r>
        <w:t xml:space="preserve">The hierarchy of importance is:</w:t>
      </w:r>
    </w:p>
    <w:p>
      <w:pPr>
        <w:pStyle w:val="Compact"/>
        <w:numPr>
          <w:ilvl w:val="0"/>
          <w:numId w:val="1015"/>
        </w:numPr>
      </w:pPr>
      <w:r>
        <w:rPr>
          <w:b/>
          <w:bCs/>
        </w:rPr>
        <w:t xml:space="preserve">Merger status and foreign regulatory approvals</w:t>
      </w:r>
    </w:p>
    <w:p>
      <w:pPr>
        <w:pStyle w:val="Compact"/>
        <w:numPr>
          <w:ilvl w:val="0"/>
          <w:numId w:val="1015"/>
        </w:numPr>
      </w:pPr>
      <w:r>
        <w:rPr>
          <w:b/>
          <w:bCs/>
        </w:rPr>
        <w:t xml:space="preserve">Tylenol litigation and brand-consumption trends</w:t>
      </w:r>
    </w:p>
    <w:p>
      <w:pPr>
        <w:pStyle w:val="Compact"/>
        <w:numPr>
          <w:ilvl w:val="0"/>
          <w:numId w:val="1015"/>
        </w:numPr>
      </w:pPr>
      <w:r>
        <w:rPr>
          <w:b/>
          <w:bCs/>
        </w:rPr>
        <w:t xml:space="preserve">Organic sales and volume</w:t>
      </w:r>
    </w:p>
    <w:p>
      <w:pPr>
        <w:pStyle w:val="Compact"/>
        <w:numPr>
          <w:ilvl w:val="0"/>
          <w:numId w:val="1015"/>
        </w:numPr>
      </w:pPr>
      <w:r>
        <w:rPr>
          <w:b/>
          <w:bCs/>
        </w:rPr>
        <w:t xml:space="preserve">Margin and restructuring-savings durability</w:t>
      </w:r>
    </w:p>
    <w:p>
      <w:pPr>
        <w:pStyle w:val="Compact"/>
        <w:numPr>
          <w:ilvl w:val="0"/>
          <w:numId w:val="1015"/>
        </w:numPr>
      </w:pPr>
      <w:r>
        <w:rPr>
          <w:b/>
          <w:bCs/>
        </w:rPr>
        <w:t xml:space="preserve">Headline revenue and EPS versus consensus</w:t>
      </w:r>
    </w:p>
    <w:p>
      <w:pPr>
        <w:pStyle w:val="FirstParagraph"/>
      </w:pPr>
      <w:r>
        <w:t xml:space="preserve">A normal earnings beat should have limited standalone value because KVUE’s upside is constrained by the cash-and-stock consideration. The larger risks are a merger delay, a material change in Tylenol’s legal or commercial profile, or evidence that Kenvue’s operating recovery is driven primarily by currency and cost cuts rather than healthier consumer demand.</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s.kenvue.com/financial-news/news-details/2026/Kenvue-Reports-First-Quarter-2026-Results/default.aspx?utm_source=openai" TargetMode="External" /><Relationship Type="http://schemas.openxmlformats.org/officeDocument/2006/relationships/hyperlink" Id="rId15" Target="https://www.investing.com/news/stock-market-news/us-appeals-court-revives-private-lawsuits-linking-tylenol-to-autism-adhd-4788881?utm_source=openai" TargetMode="External" /><Relationship Type="http://schemas.openxmlformats.org/officeDocument/2006/relationships/hyperlink" Id="rId18" Target="https://www.sec.gov/Archives/edgar/data/1944048/000110465925120017/tm2533209d1_425.htm?utm_source=openai" TargetMode="External" /><Relationship Type="http://schemas.openxmlformats.org/officeDocument/2006/relationships/hyperlink" Id="rId9" Target="https://www.tipranks.com/stocks/kvue/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s.kenvue.com/financial-news/news-details/2026/Kenvue-Reports-First-Quarter-2026-Results/default.aspx?utm_source=openai" TargetMode="External" /><Relationship Type="http://schemas.openxmlformats.org/officeDocument/2006/relationships/hyperlink" Id="rId15" Target="https://www.investing.com/news/stock-market-news/us-appeals-court-revives-private-lawsuits-linking-tylenol-to-autism-adhd-4788881?utm_source=openai" TargetMode="External" /><Relationship Type="http://schemas.openxmlformats.org/officeDocument/2006/relationships/hyperlink" Id="rId18" Target="https://www.sec.gov/Archives/edgar/data/1944048/000110465925120017/tm2533209d1_425.htm?utm_source=openai" TargetMode="External" /><Relationship Type="http://schemas.openxmlformats.org/officeDocument/2006/relationships/hyperlink" Id="rId9" Target="https://www.tipranks.com/stocks/kvue/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2026-08-06T00:53:58Z</dcterms:created>
  <dcterms:modified xsi:type="dcterms:W3CDTF">2026-08-06T00:53:58Z</dcterms:modified>
</cp:coreProperties>
</file>

<file path=docProps/custom.xml><?xml version="1.0" encoding="utf-8"?>
<Properties xmlns="http://schemas.openxmlformats.org/officeDocument/2006/custom-properties" xmlns:vt="http://schemas.openxmlformats.org/officeDocument/2006/docPropsVTypes"/>
</file>