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vue-earnings-predictions--2026-08-06"/>
    <w:p>
      <w:pPr>
        <w:pStyle w:val="Heading1"/>
      </w:pPr>
      <w:r>
        <w:t xml:space="preserve">KVUE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~$0.33 vs. cons $0.32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~$4.00B vs. cons $3.99B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~1.6% vs. cons 0.8%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Kimberly-Clark transaction consideration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~$3.50 cash + 0.14625 KMB shares vs. cons $3.50 cash + 0.14625 KMB shares (H2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Merger closing timing / regulatory-status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 months remaining to H2 2026 close vs. cons 6 months remaining to H2 2026 close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KVUE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+0.2% (STABILIZE)</w:t>
            </w:r>
          </w:p>
        </w:tc>
        <w:tc>
          <w:tcPr/>
          <w:p>
            <w:pPr>
              <w:pStyle w:val="Compact"/>
            </w:pPr>
            <w:r>
              <w:t xml:space="preserve">A modest ~$0.01 EPS beat and ~0.8-point organic-sales upside support the operating narrative, but unchanged merger terms and timing leave little scope for estimate revisions or deal-spread compression; residual return ~0.2% versus day-1 residual ~0.4%.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2026-08-06T00:52:27Z</dcterms:created>
  <dcterms:modified xsi:type="dcterms:W3CDTF">2026-08-06T00:52:27Z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