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cfe4867842e4be4bffe2a5e656841c194bf0459"/>
    <w:p>
      <w:pPr>
        <w:pStyle w:val="Heading1"/>
      </w:pPr>
      <w:r>
        <w:t xml:space="preserve">Kenvue (NYSE: KVUE) — Q2 2026 Earnings Preview</w:t>
      </w:r>
    </w:p>
    <w:p>
      <w:pPr>
        <w:pStyle w:val="BlockText"/>
      </w:pPr>
      <w:r>
        <w:rPr>
          <w:b/>
          <w:bCs/>
        </w:rPr>
        <w:t xml:space="preserve">Date clarification:</w:t>
      </w:r>
      <w:r>
        <w:t xml:space="preserve"> </w:t>
      </w:r>
      <w:r>
        <w:t xml:space="preserve">The event date in the prompt is</w:t>
      </w:r>
      <w:r>
        <w:t xml:space="preserve"> </w:t>
      </w:r>
      <w:r>
        <w:rPr>
          <w:b/>
          <w:bCs/>
        </w:rPr>
        <w:t xml:space="preserve">Thursday, August 6, 2026</w:t>
      </w:r>
      <w:r>
        <w:t xml:space="preserve">, which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This preview uses information available through the</w:t>
      </w:r>
      <w:r>
        <w:t xml:space="preserve"> </w:t>
      </w:r>
      <w:r>
        <w:rPr>
          <w:b/>
          <w:bCs/>
        </w:rPr>
        <w:t xml:space="preserve">August 5 close</w:t>
      </w:r>
      <w:r>
        <w:t xml:space="preserve">.</w:t>
      </w:r>
    </w:p>
    <w:bookmarkStart w:id="10" w:name="X602f52bfd62f9220f499d27e3b4fb6d621a531d"/>
    <w:p>
      <w:pPr>
        <w:pStyle w:val="Heading2"/>
      </w:pPr>
      <w:r>
        <w:t xml:space="preserve">Investment view: this is primarily a deal-status and execution update—not a conventional earnings catalyst</w:t>
      </w:r>
    </w:p>
    <w:p>
      <w:pPr>
        <w:pStyle w:val="FirstParagraph"/>
      </w:pPr>
      <w:r>
        <w:t xml:space="preserve">Kenvue’s Q2 release matters, but the stock is now best viewed as a</w:t>
      </w:r>
      <w:r>
        <w:t xml:space="preserve"> </w:t>
      </w:r>
      <w:r>
        <w:rPr>
          <w:b/>
          <w:bCs/>
        </w:rPr>
        <w:t xml:space="preserve">Kimberly-Clark merger security with operating-performance optionality</w:t>
      </w:r>
      <w:r>
        <w:t xml:space="preserve">. The key question is less “does KVUE beat quarterly EPS?” and more: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Is the underlying turnaround holding?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Does Kenvue reiterate that the Kimberly-Clark transaction remains on track?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Are there any new regulatory, timing, tariff, or operating issues that widen the deal spread?</w:t>
      </w:r>
    </w:p>
    <w:p>
      <w:pPr>
        <w:pStyle w:val="FirstParagraph"/>
      </w:pPr>
      <w:r>
        <w:t xml:space="preserve">The transaction calls for KVUE holders to receive</w:t>
      </w:r>
      <w:r>
        <w:t xml:space="preserve"> </w:t>
      </w:r>
      <w:r>
        <w:rPr>
          <w:b/>
          <w:bCs/>
        </w:rPr>
        <w:t xml:space="preserve">$3.50 in cash plus 0.14625 shares of Kimberly-Clark (KMB)</w:t>
      </w:r>
      <w:r>
        <w:t xml:space="preserve"> </w:t>
      </w:r>
      <w:r>
        <w:t xml:space="preserve">per KVUE share. Based on the August 5 closes of KVUE at $19.66 and KMB at</w:t>
      </w:r>
      <w:r>
        <w:t xml:space="preserve"> </w:t>
      </w:r>
      <m:oMath>
        <m:r>
          <m:t>112.40</m:t>
        </m:r>
        <m:r>
          <m:rPr>
            <m:sty m:val="p"/>
          </m:rPr>
          <m:t>,</m:t>
        </m:r>
        <m:r>
          <m:t>t</m:t>
        </m:r>
        <m:r>
          <m:t>h</m:t>
        </m:r>
        <m:r>
          <m:t>a</m:t>
        </m:r>
        <m:r>
          <m:t>t</m:t>
        </m:r>
        <m:r>
          <m:t>c</m:t>
        </m:r>
        <m:r>
          <m:t>o</m:t>
        </m:r>
        <m:r>
          <m:t>n</m:t>
        </m:r>
        <m:r>
          <m:t>s</m:t>
        </m:r>
        <m:r>
          <m:t>i</m:t>
        </m:r>
        <m:r>
          <m:t>d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i</m:t>
        </m:r>
        <m:r>
          <m:t>m</m:t>
        </m:r>
        <m:r>
          <m:t>p</m:t>
        </m:r>
        <m:r>
          <m:t>l</m:t>
        </m:r>
        <m:r>
          <m:t>i</m:t>
        </m:r>
        <m:r>
          <m:t>e</m:t>
        </m:r>
        <m:r>
          <m:t>d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19.94 per KVUE share**—only about a</w:t>
      </w:r>
      <w:r>
        <w:t xml:space="preserve"> </w:t>
      </w:r>
      <w:r>
        <w:rPr>
          <w:b/>
          <w:bCs/>
        </w:rPr>
        <w:t xml:space="preserve">1.4% gross spread</w:t>
      </w:r>
      <w:r>
        <w:t xml:space="preserve">. That tight spread indicates the market is assigning a relatively high probability of completion, while leaving limited room for a routine fundamental beat to drive a large standalone re-rating. (</w:t>
      </w:r>
      <w:hyperlink r:id="rId9">
        <w:r>
          <w:rPr>
            <w:rStyle w:val="Hyperlink"/>
          </w:rPr>
          <w:t xml:space="preserve">investor.kimberly-clark.com</w:t>
        </w:r>
      </w:hyperlink>
      <w:r>
        <w:t xml:space="preserve">)</w:t>
      </w:r>
    </w:p>
    <w:bookmarkEnd w:id="10"/>
    <w:bookmarkStart w:id="12" w:name="what-happened-last-quarter"/>
    <w:p>
      <w:pPr>
        <w:pStyle w:val="Heading2"/>
      </w:pPr>
      <w:r>
        <w:t xml:space="preserve">What happened last quarter</w:t>
      </w:r>
    </w:p>
    <w:p>
      <w:pPr>
        <w:pStyle w:val="FirstParagraph"/>
      </w:pPr>
      <w:r>
        <w:t xml:space="preserve">Kenvue entered Q2 with visibly improved earnings quality following a difficult 2025: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Q1 2026 result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Year-over-year change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$3.91B</w:t>
            </w:r>
            <w:r>
              <w:t xml:space="preserve">, +4.5%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sales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+0.7%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$0.32</w:t>
            </w:r>
            <w:r>
              <w:t xml:space="preserve">, +33%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24.0%</w:t>
            </w:r>
            <w:r>
              <w:t xml:space="preserve">, +420 bps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$0.4B</w:t>
            </w:r>
            <w:r>
              <w:t xml:space="preserve">, vs. $0.2B</w:t>
            </w:r>
          </w:p>
        </w:tc>
      </w:tr>
    </w:tbl>
    <w:p>
      <w:pPr>
        <w:pStyle w:val="BodyText"/>
      </w:pPr>
      <w:r>
        <w:t xml:space="preserve">However, the sales result was less robust than the reported growth rate implies: favorable foreign exchange added</w:t>
      </w:r>
      <w:r>
        <w:t xml:space="preserve"> </w:t>
      </w:r>
      <w:r>
        <w:rPr>
          <w:b/>
          <w:bCs/>
        </w:rPr>
        <w:t xml:space="preserve">3.8 points</w:t>
      </w:r>
      <w:r>
        <w:t xml:space="preserve"> </w:t>
      </w:r>
      <w:r>
        <w:t xml:space="preserve">to reported sales growth, while organic growth came from</w:t>
      </w:r>
      <w:r>
        <w:t xml:space="preserve"> </w:t>
      </w:r>
      <w:r>
        <w:rPr>
          <w:b/>
          <w:bCs/>
        </w:rPr>
        <w:t xml:space="preserve">1.0% pricing/value realization</w:t>
      </w:r>
      <w:r>
        <w:t xml:space="preserve"> </w:t>
      </w:r>
      <w:r>
        <w:t xml:space="preserve">and was partly offset by a</w:t>
      </w:r>
      <w:r>
        <w:t xml:space="preserve"> </w:t>
      </w:r>
      <w:r>
        <w:rPr>
          <w:b/>
          <w:bCs/>
        </w:rPr>
        <w:t xml:space="preserve">0.3% volume decline</w:t>
      </w:r>
      <w:r>
        <w:t xml:space="preserve">. Margin expansion was driven by supply-chain productivity, restructuring/cost actions, and lower media costs. (</w:t>
      </w:r>
      <w:hyperlink r:id="rId11">
        <w:r>
          <w:rPr>
            <w:rStyle w:val="Hyperlink"/>
          </w:rPr>
          <w:t xml:space="preserve">investors.kenvue.com</w:t>
        </w:r>
      </w:hyperlink>
      <w:r>
        <w:t xml:space="preserve">)</w:t>
      </w:r>
    </w:p>
    <w:p>
      <w:pPr>
        <w:pStyle w:val="BodyText"/>
      </w:pPr>
      <w:r>
        <w:t xml:space="preserve">The important shift was at the segment level: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Skin Health &amp; Beauty</w:t>
      </w:r>
      <w:r>
        <w:t xml:space="preserve"> </w:t>
      </w:r>
      <w:r>
        <w:t xml:space="preserve">was the growth engine, with</w:t>
      </w:r>
      <w:r>
        <w:t xml:space="preserve"> </w:t>
      </w:r>
      <w:r>
        <w:rPr>
          <w:b/>
          <w:bCs/>
        </w:rPr>
        <w:t xml:space="preserve">5.0% organic growth</w:t>
      </w:r>
      <w:r>
        <w:t xml:space="preserve">, including</w:t>
      </w:r>
      <w:r>
        <w:t xml:space="preserve"> </w:t>
      </w:r>
      <w:r>
        <w:rPr>
          <w:b/>
          <w:bCs/>
        </w:rPr>
        <w:t xml:space="preserve">4.2% volume growth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Essential Health</w:t>
      </w:r>
      <w:r>
        <w:t xml:space="preserve"> </w:t>
      </w:r>
      <w:r>
        <w:t xml:space="preserve">posted</w:t>
      </w:r>
      <w:r>
        <w:t xml:space="preserve"> </w:t>
      </w:r>
      <w:r>
        <w:rPr>
          <w:b/>
          <w:bCs/>
        </w:rPr>
        <w:t xml:space="preserve">1.5% organic growth</w:t>
      </w:r>
      <w:r>
        <w:t xml:space="preserve">, aided by Baby Care distribution/e-commerce and Oral Care/Wound Care innovation.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Self Care</w:t>
      </w:r>
      <w:r>
        <w:t xml:space="preserve"> </w:t>
      </w:r>
      <w:r>
        <w:t xml:space="preserve">declined</w:t>
      </w:r>
      <w:r>
        <w:t xml:space="preserve"> </w:t>
      </w:r>
      <w:r>
        <w:rPr>
          <w:b/>
          <w:bCs/>
        </w:rPr>
        <w:t xml:space="preserve">2.3% organically</w:t>
      </w:r>
      <w:r>
        <w:t xml:space="preserve">, as a soft cold-and-flu environment weighed on cough/cold and pediatric pain products.</w:t>
      </w:r>
    </w:p>
    <w:p>
      <w:pPr>
        <w:pStyle w:val="FirstParagraph"/>
      </w:pPr>
      <w:r>
        <w:t xml:space="preserve">That mix is central to Q2: investors will want proof that strength in Skin Health &amp; Beauty and Essential Health can more than offset weather- and incidence-sensitive Self Care trends.</w:t>
      </w:r>
    </w:p>
    <w:bookmarkEnd w:id="12"/>
    <w:bookmarkStart w:id="14" w:name="X682acdd9daa5884d667862e16118a8a4c5d387b"/>
    <w:p>
      <w:pPr>
        <w:pStyle w:val="Heading2"/>
      </w:pPr>
      <w:r>
        <w:t xml:space="preserve">The Q2 setup: a low base, but not a free pass</w:t>
      </w:r>
    </w:p>
    <w:p>
      <w:pPr>
        <w:pStyle w:val="FirstParagraph"/>
      </w:pPr>
      <w:r>
        <w:t xml:space="preserve">The comparison is favorable. In Q2 2025, Kenvue reported: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Net sales down 4.0%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Organic sales down 4.2%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Adjusted EPS of $0.29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Adjusted operating margin of 22.7%</w:t>
      </w:r>
    </w:p>
    <w:p>
      <w:pPr>
        <w:pStyle w:val="FirstParagraph"/>
      </w:pPr>
      <w:r>
        <w:t xml:space="preserve">Last year’s weakness was driven by soft North American allergy and sun seasons, lower category growth, customer inventory fluctuations, unfavorable shipment timing in China, and a</w:t>
      </w:r>
      <w:r>
        <w:t xml:space="preserve"> </w:t>
      </w:r>
      <w:r>
        <w:rPr>
          <w:b/>
          <w:bCs/>
        </w:rPr>
        <w:t xml:space="preserve">3.3% volume decline</w:t>
      </w:r>
      <w:r>
        <w:t xml:space="preserve">. (</w:t>
      </w:r>
      <w:hyperlink r:id="rId13">
        <w:r>
          <w:rPr>
            <w:rStyle w:val="Hyperlink"/>
          </w:rPr>
          <w:t xml:space="preserve">investors.kenvue.com</w:t>
        </w:r>
      </w:hyperlink>
      <w:r>
        <w:t xml:space="preserve">)</w:t>
      </w:r>
    </w:p>
    <w:p>
      <w:pPr>
        <w:pStyle w:val="BodyText"/>
      </w:pPr>
      <w:r>
        <w:t xml:space="preserve">This produces a relatively forgiving year-over-year revenue comparison for Q2 2026. Still, the quarter will be judged on whether Kenvue demonstrates a</w:t>
      </w:r>
      <w:r>
        <w:t xml:space="preserve"> </w:t>
      </w:r>
      <w:r>
        <w:rPr>
          <w:b/>
          <w:bCs/>
        </w:rPr>
        <w:t xml:space="preserve">genuine volume-led recovery</w:t>
      </w:r>
      <w:r>
        <w:t xml:space="preserve">, rather than simply benefiting from easy comparisons, foreign exchange, pricing, and cost cuts.</w:t>
      </w:r>
    </w:p>
    <w:bookmarkEnd w:id="14"/>
    <w:bookmarkStart w:id="20" w:name="what-investors-should-watch"/>
    <w:p>
      <w:pPr>
        <w:pStyle w:val="Heading2"/>
      </w:pPr>
      <w:r>
        <w:t xml:space="preserve">What investors should watch</w:t>
      </w:r>
    </w:p>
    <w:bookmarkStart w:id="15" w:name="Xb56790ff13f4c633adff48fe2f3c612f99bb2d3"/>
    <w:p>
      <w:pPr>
        <w:pStyle w:val="Heading3"/>
      </w:pPr>
      <w:r>
        <w:t xml:space="preserve">1. Organic growth—and, specifically, volume</w:t>
      </w:r>
    </w:p>
    <w:p>
      <w:pPr>
        <w:pStyle w:val="FirstParagraph"/>
      </w:pPr>
      <w:r>
        <w:t xml:space="preserve">The most important KPI is organic sales growth, followed by its split between price/mix and volume.</w:t>
      </w:r>
    </w:p>
    <w:p>
      <w:pPr>
        <w:pStyle w:val="BodyText"/>
      </w:pPr>
      <w:r>
        <w:t xml:space="preserve">A constructive result would show:</w:t>
      </w:r>
    </w:p>
    <w:p>
      <w:pPr>
        <w:pStyle w:val="Compact"/>
        <w:numPr>
          <w:ilvl w:val="0"/>
          <w:numId w:val="1004"/>
        </w:numPr>
      </w:pPr>
      <w:r>
        <w:t xml:space="preserve">Positive total-company volume;</w:t>
      </w:r>
    </w:p>
    <w:p>
      <w:pPr>
        <w:pStyle w:val="Compact"/>
        <w:numPr>
          <w:ilvl w:val="0"/>
          <w:numId w:val="1004"/>
        </w:numPr>
      </w:pPr>
      <w:r>
        <w:t xml:space="preserve">Continued momentum in Skin Health &amp; Beauty;</w:t>
      </w:r>
    </w:p>
    <w:p>
      <w:pPr>
        <w:pStyle w:val="Compact"/>
        <w:numPr>
          <w:ilvl w:val="0"/>
          <w:numId w:val="1004"/>
        </w:numPr>
      </w:pPr>
      <w:r>
        <w:t xml:space="preserve">Essential Health maintaining positive volume;</w:t>
      </w:r>
    </w:p>
    <w:p>
      <w:pPr>
        <w:pStyle w:val="Compact"/>
        <w:numPr>
          <w:ilvl w:val="0"/>
          <w:numId w:val="1004"/>
        </w:numPr>
      </w:pPr>
      <w:r>
        <w:t xml:space="preserve">A narrowing or reversal of the Self Care volume decline.</w:t>
      </w:r>
    </w:p>
    <w:p>
      <w:pPr>
        <w:pStyle w:val="FirstParagraph"/>
      </w:pPr>
      <w:r>
        <w:t xml:space="preserve">A result driven mainly by FX and pricing would be less convincing. In Q1, the company’s underlying volume was still negative despite positive organic growth.</w:t>
      </w:r>
    </w:p>
    <w:bookmarkEnd w:id="15"/>
    <w:bookmarkStart w:id="16" w:name="X7fe3b29942021ded5e20a38bd8779b201cc429c"/>
    <w:p>
      <w:pPr>
        <w:pStyle w:val="Heading3"/>
      </w:pPr>
      <w:r>
        <w:t xml:space="preserve">2. Self Care: evidence that consumption is normalizing</w:t>
      </w:r>
    </w:p>
    <w:p>
      <w:pPr>
        <w:pStyle w:val="FirstParagraph"/>
      </w:pPr>
      <w:r>
        <w:t xml:space="preserve">Self Care is Kenvue’s largest segment and posted a 2.3% organic decline in Q1. Management cited weak cold-and-flu incidence, though it also noted improving U.S. consumption trends and market-share gains in brands such as Tylenol and Zyrtec. (</w:t>
      </w:r>
      <w:hyperlink r:id="rId11">
        <w:r>
          <w:rPr>
            <w:rStyle w:val="Hyperlink"/>
          </w:rPr>
          <w:t xml:space="preserve">investors.kenvue.com</w:t>
        </w:r>
      </w:hyperlink>
      <w:r>
        <w:t xml:space="preserve">)</w:t>
      </w:r>
    </w:p>
    <w:p>
      <w:pPr>
        <w:pStyle w:val="BodyText"/>
      </w:pPr>
      <w:r>
        <w:t xml:space="preserve">For Q2, the read-through should focus on:</w:t>
      </w:r>
    </w:p>
    <w:p>
      <w:pPr>
        <w:pStyle w:val="Compact"/>
        <w:numPr>
          <w:ilvl w:val="0"/>
          <w:numId w:val="1005"/>
        </w:numPr>
      </w:pPr>
      <w:r>
        <w:t xml:space="preserve">Allergy-season demand and Zyrtec performance;</w:t>
      </w:r>
    </w:p>
    <w:p>
      <w:pPr>
        <w:pStyle w:val="Compact"/>
        <w:numPr>
          <w:ilvl w:val="0"/>
          <w:numId w:val="1005"/>
        </w:numPr>
      </w:pPr>
      <w:r>
        <w:t xml:space="preserve">Tylenol consumption, share, and brand-trust trends;</w:t>
      </w:r>
    </w:p>
    <w:p>
      <w:pPr>
        <w:pStyle w:val="Compact"/>
        <w:numPr>
          <w:ilvl w:val="0"/>
          <w:numId w:val="1005"/>
        </w:numPr>
      </w:pPr>
      <w:r>
        <w:t xml:space="preserve">Whether Nicorette’s international growth remains strong;</w:t>
      </w:r>
    </w:p>
    <w:p>
      <w:pPr>
        <w:pStyle w:val="Compact"/>
        <w:numPr>
          <w:ilvl w:val="0"/>
          <w:numId w:val="1005"/>
        </w:numPr>
      </w:pPr>
      <w:r>
        <w:t xml:space="preserve">Whether seasonal conditions again create a material headwind.</w:t>
      </w:r>
    </w:p>
    <w:bookmarkEnd w:id="16"/>
    <w:bookmarkStart w:id="17" w:name="Xe15aa12d21e2fc5b2419c323cfd70f72e648009"/>
    <w:p>
      <w:pPr>
        <w:pStyle w:val="Heading3"/>
      </w:pPr>
      <w:r>
        <w:t xml:space="preserve">3. Skin Health &amp; Beauty: can the growth engine sustain?</w:t>
      </w:r>
    </w:p>
    <w:p>
      <w:pPr>
        <w:pStyle w:val="FirstParagraph"/>
      </w:pPr>
      <w:r>
        <w:t xml:space="preserve">This segment is likely the clearest upside lever. Q1 organic growth was 5.0%, powered by innovation, e-commerce efforts, international demand, North American improvement, and strong Latin American sun-care execution.</w:t>
      </w:r>
    </w:p>
    <w:p>
      <w:pPr>
        <w:pStyle w:val="BodyText"/>
      </w:pPr>
      <w:r>
        <w:t xml:space="preserve">Q2 should provide a more meaningful test of:</w:t>
      </w:r>
    </w:p>
    <w:p>
      <w:pPr>
        <w:pStyle w:val="Compact"/>
        <w:numPr>
          <w:ilvl w:val="0"/>
          <w:numId w:val="1006"/>
        </w:numPr>
      </w:pPr>
      <w:r>
        <w:t xml:space="preserve">Neutrogena sun-care demand;</w:t>
      </w:r>
    </w:p>
    <w:p>
      <w:pPr>
        <w:pStyle w:val="Compact"/>
        <w:numPr>
          <w:ilvl w:val="0"/>
          <w:numId w:val="1006"/>
        </w:numPr>
      </w:pPr>
      <w:r>
        <w:t xml:space="preserve">North American competitive intensity;</w:t>
      </w:r>
    </w:p>
    <w:p>
      <w:pPr>
        <w:pStyle w:val="Compact"/>
        <w:numPr>
          <w:ilvl w:val="0"/>
          <w:numId w:val="1006"/>
        </w:numPr>
      </w:pPr>
      <w:r>
        <w:t xml:space="preserve">OGX and hair-care innovation;</w:t>
      </w:r>
    </w:p>
    <w:p>
      <w:pPr>
        <w:pStyle w:val="Compact"/>
        <w:numPr>
          <w:ilvl w:val="0"/>
          <w:numId w:val="1006"/>
        </w:numPr>
      </w:pPr>
      <w:r>
        <w:t xml:space="preserve">E-commerce acceleration;</w:t>
      </w:r>
    </w:p>
    <w:p>
      <w:pPr>
        <w:pStyle w:val="Compact"/>
        <w:numPr>
          <w:ilvl w:val="0"/>
          <w:numId w:val="1006"/>
        </w:numPr>
      </w:pPr>
      <w:r>
        <w:t xml:space="preserve">The durability of improved segment profitability.</w:t>
      </w:r>
    </w:p>
    <w:p>
      <w:pPr>
        <w:pStyle w:val="FirstParagraph"/>
      </w:pPr>
      <w:r>
        <w:t xml:space="preserve">Skin Health &amp; Beauty’s Q1 segment adjusted operating income rose 83% year over year, so the bar on margins is now higher even if sales comparisons remain favorable.</w:t>
      </w:r>
    </w:p>
    <w:bookmarkEnd w:id="17"/>
    <w:bookmarkStart w:id="18" w:name="X8edf3a35236224e53615a7b4faad2973059859f"/>
    <w:p>
      <w:pPr>
        <w:pStyle w:val="Heading3"/>
      </w:pPr>
      <w:r>
        <w:t xml:space="preserve">4. Margin durability versus tariffs and restructuring</w:t>
      </w:r>
    </w:p>
    <w:p>
      <w:pPr>
        <w:pStyle w:val="FirstParagraph"/>
      </w:pPr>
      <w:r>
        <w:t xml:space="preserve">Kenvue’s Q1 adjusted operating margin rose to 24.0% from 19.8%. The company credited supply-chain optimization, restructuring savings, and media-cost improvement, despite inflation, tariffs, and modestly lower volume. (</w:t>
      </w:r>
      <w:hyperlink r:id="rId11">
        <w:r>
          <w:rPr>
            <w:rStyle w:val="Hyperlink"/>
          </w:rPr>
          <w:t xml:space="preserve">investors.kenvue.com</w:t>
        </w:r>
      </w:hyperlink>
      <w:r>
        <w:t xml:space="preserve">)</w:t>
      </w:r>
    </w:p>
    <w:p>
      <w:pPr>
        <w:pStyle w:val="BodyText"/>
      </w:pPr>
      <w:r>
        <w:t xml:space="preserve">The upcoming release should clarify whether Q1’s margin strength was repeatable. Items to monitor:</w:t>
      </w:r>
    </w:p>
    <w:p>
      <w:pPr>
        <w:pStyle w:val="Compact"/>
        <w:numPr>
          <w:ilvl w:val="0"/>
          <w:numId w:val="1007"/>
        </w:numPr>
      </w:pPr>
      <w:r>
        <w:t xml:space="preserve">Gross-margin progression;</w:t>
      </w:r>
    </w:p>
    <w:p>
      <w:pPr>
        <w:pStyle w:val="Compact"/>
        <w:numPr>
          <w:ilvl w:val="0"/>
          <w:numId w:val="1007"/>
        </w:numPr>
      </w:pPr>
      <w:r>
        <w:t xml:space="preserve">Incremental benefits from supply-chain productivity;</w:t>
      </w:r>
    </w:p>
    <w:p>
      <w:pPr>
        <w:pStyle w:val="Compact"/>
        <w:numPr>
          <w:ilvl w:val="0"/>
          <w:numId w:val="1007"/>
        </w:numPr>
      </w:pPr>
      <w:r>
        <w:t xml:space="preserve">Savings from the 2026 restructuring program;</w:t>
      </w:r>
    </w:p>
    <w:p>
      <w:pPr>
        <w:pStyle w:val="Compact"/>
        <w:numPr>
          <w:ilvl w:val="0"/>
          <w:numId w:val="1007"/>
        </w:numPr>
      </w:pPr>
      <w:r>
        <w:t xml:space="preserve">Tariff and input-cost effects;</w:t>
      </w:r>
    </w:p>
    <w:p>
      <w:pPr>
        <w:pStyle w:val="Compact"/>
        <w:numPr>
          <w:ilvl w:val="0"/>
          <w:numId w:val="1007"/>
        </w:numPr>
      </w:pPr>
      <w:r>
        <w:t xml:space="preserve">Transaction-related costs;</w:t>
      </w:r>
    </w:p>
    <w:p>
      <w:pPr>
        <w:pStyle w:val="Compact"/>
        <w:numPr>
          <w:ilvl w:val="0"/>
          <w:numId w:val="1007"/>
        </w:numPr>
      </w:pPr>
      <w:r>
        <w:t xml:space="preserve">Brand-investment levels.</w:t>
      </w:r>
    </w:p>
    <w:p>
      <w:pPr>
        <w:pStyle w:val="FirstParagraph"/>
      </w:pPr>
      <w:r>
        <w:t xml:space="preserve">The 2026 restructuring initiative is expected to entail roughly</w:t>
      </w:r>
      <w:r>
        <w:t xml:space="preserve"> </w:t>
      </w:r>
      <m:oMath>
        <m:r>
          <m:t>250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p</m:t>
        </m:r>
        <m:r>
          <m:t>r</m:t>
        </m:r>
        <m:r>
          <m:t>e</m:t>
        </m:r>
        <m:r>
          <m:rPr>
            <m:sty m:val="p"/>
          </m:rPr>
          <m:t>−</m:t>
        </m:r>
        <m:r>
          <m:t>t</m:t>
        </m:r>
        <m:r>
          <m:t>a</m:t>
        </m:r>
        <m:r>
          <m:t>x</m:t>
        </m:r>
        <m:r>
          <m:t>c</m:t>
        </m:r>
        <m:r>
          <m:t>h</m:t>
        </m:r>
        <m:r>
          <m:t>a</m:t>
        </m:r>
        <m:r>
          <m:t>r</m:t>
        </m:r>
        <m:r>
          <m:t>g</m:t>
        </m:r>
        <m:r>
          <m:t>e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t</m:t>
        </m:r>
        <m:r>
          <m:t>h</m:t>
        </m:r>
        <m:r>
          <m:t>i</m:t>
        </m:r>
        <m:r>
          <m:t>s</m:t>
        </m:r>
        <m:r>
          <m:t>y</m:t>
        </m:r>
        <m:r>
          <m:t>e</m:t>
        </m:r>
        <m:r>
          <m:t>a</m:t>
        </m:r>
        <m:r>
          <m:t>r</m:t>
        </m:r>
        <m:r>
          <m:t>a</m:t>
        </m:r>
        <m:r>
          <m:t>n</m:t>
        </m:r>
        <m:r>
          <m:t>d</m:t>
        </m:r>
        <m:r>
          <m:t>t</m:t>
        </m:r>
        <m:r>
          <m:t>a</m:t>
        </m:r>
        <m:r>
          <m:t>r</m:t>
        </m:r>
        <m:r>
          <m:t>g</m:t>
        </m:r>
        <m:r>
          <m:t>e</m:t>
        </m:r>
        <m:r>
          <m:t>t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200 million of annualized pre-tax gross savings</w:t>
      </w:r>
      <w:r>
        <w:t xml:space="preserve"> </w:t>
      </w:r>
      <w:r>
        <w:t xml:space="preserve">upon completion. The savings opportunity is real, but the cash costs and execution burden remain relevant. (</w:t>
      </w:r>
      <w:hyperlink r:id="rId11">
        <w:r>
          <w:rPr>
            <w:rStyle w:val="Hyperlink"/>
          </w:rPr>
          <w:t xml:space="preserve">investors.kenvue.com</w:t>
        </w:r>
      </w:hyperlink>
      <w:r>
        <w:t xml:space="preserve">)</w:t>
      </w:r>
    </w:p>
    <w:bookmarkEnd w:id="18"/>
    <w:bookmarkStart w:id="19" w:name="Xce840eb0d3e9094aba2a7442409713b2f6c76f1"/>
    <w:p>
      <w:pPr>
        <w:pStyle w:val="Heading3"/>
      </w:pPr>
      <w:r>
        <w:t xml:space="preserve">5. Cash flow and leverage</w:t>
      </w:r>
    </w:p>
    <w:p>
      <w:pPr>
        <w:pStyle w:val="FirstParagraph"/>
      </w:pPr>
      <w:r>
        <w:t xml:space="preserve">At the end of Q1, Kenvue had approximately</w:t>
      </w:r>
      <w:r>
        <w:t xml:space="preserve"> </w:t>
      </w:r>
      <m:oMath>
        <m:r>
          <m:t>1.1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c</m:t>
        </m:r>
        <m:r>
          <m:t>a</m:t>
        </m:r>
        <m:r>
          <m:t>s</m:t>
        </m:r>
        <m:r>
          <m:t>h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8.7 billion of debt</w:t>
      </w:r>
      <w:r>
        <w:t xml:space="preserve">, and</w:t>
      </w:r>
      <w:r>
        <w:t xml:space="preserve"> </w:t>
      </w:r>
      <w:r>
        <w:rPr>
          <w:b/>
          <w:bCs/>
        </w:rPr>
        <w:t xml:space="preserve">$7.6 billion of net debt</w:t>
      </w:r>
      <w:r>
        <w:t xml:space="preserve">. Q1 free cash flow improved to $0.4 billion. Cash conversion matters because the company remains leveraged and is absorbing restructuring and transaction costs while awaiting the merger close. (</w:t>
      </w:r>
      <w:hyperlink r:id="rId11">
        <w:r>
          <w:rPr>
            <w:rStyle w:val="Hyperlink"/>
          </w:rPr>
          <w:t xml:space="preserve">investors.kenvue.com</w:t>
        </w:r>
      </w:hyperlink>
      <w:r>
        <w:t xml:space="preserve">)</w:t>
      </w:r>
    </w:p>
    <w:p>
      <w:pPr>
        <w:pStyle w:val="BodyText"/>
      </w:pPr>
      <w:r>
        <w:t xml:space="preserve">A solid Q2 would show operating cash flow tracking with earnings and no notable working-capital deterioration.</w:t>
      </w:r>
    </w:p>
    <w:bookmarkEnd w:id="19"/>
    <w:bookmarkEnd w:id="20"/>
    <w:bookmarkStart w:id="22" w:name="Xa8e2f85c99d9a77c0bd6096f129b4402c9ae64a"/>
    <w:p>
      <w:pPr>
        <w:pStyle w:val="Heading2"/>
      </w:pPr>
      <w:r>
        <w:t xml:space="preserve">Merger status is the dominant stock-specific catalyst</w:t>
      </w:r>
    </w:p>
    <w:p>
      <w:pPr>
        <w:pStyle w:val="FirstParagraph"/>
      </w:pPr>
      <w:r>
        <w:t xml:space="preserve">Kenvue has suspended forward guidance and quarterly earnings calls while the Kimberly-Clark deal is pending, so investors should expect a more limited release and fewer opportunities to interrogate management on a live call. (</w:t>
      </w:r>
      <w:hyperlink r:id="rId11">
        <w:r>
          <w:rPr>
            <w:rStyle w:val="Hyperlink"/>
          </w:rPr>
          <w:t xml:space="preserve">investors.kenvue.com</w:t>
        </w:r>
      </w:hyperlink>
      <w:r>
        <w:t xml:space="preserve">)</w:t>
      </w:r>
    </w:p>
    <w:p>
      <w:pPr>
        <w:pStyle w:val="BodyText"/>
      </w:pPr>
      <w:r>
        <w:t xml:space="preserve">The deal has already received shareholder approvals. It still requires remaining foreign regulatory approvals and other customary closing conditions; management has continued to target a</w:t>
      </w:r>
      <w:r>
        <w:t xml:space="preserve"> </w:t>
      </w:r>
      <w:r>
        <w:rPr>
          <w:b/>
          <w:bCs/>
        </w:rPr>
        <w:t xml:space="preserve">second-half 2026</w:t>
      </w:r>
      <w:r>
        <w:t xml:space="preserve"> </w:t>
      </w:r>
      <w:r>
        <w:t xml:space="preserve">close. Kimberly-Clark’s recently announced post-close organizational structure likewise stated the transaction remained on track for the second half of the year. (</w:t>
      </w:r>
      <w:hyperlink r:id="rId21">
        <w:r>
          <w:rPr>
            <w:rStyle w:val="Hyperlink"/>
          </w:rPr>
          <w:t xml:space="preserve">investor.kimberly-clark.com</w:t>
        </w:r>
      </w:hyperlink>
      <w:r>
        <w:t xml:space="preserve">)</w:t>
      </w:r>
    </w:p>
    <w:p>
      <w:pPr>
        <w:pStyle w:val="BodyText"/>
      </w:pPr>
      <w:r>
        <w:rPr>
          <w:b/>
          <w:bCs/>
        </w:rPr>
        <w:t xml:space="preserve">What would matter most in the release:</w:t>
      </w:r>
    </w:p>
    <w:p>
      <w:pPr>
        <w:pStyle w:val="Compact"/>
        <w:numPr>
          <w:ilvl w:val="0"/>
          <w:numId w:val="1008"/>
        </w:numPr>
      </w:pPr>
      <w:r>
        <w:t xml:space="preserve">Explicit confirmation that closing remains on track;</w:t>
      </w:r>
    </w:p>
    <w:p>
      <w:pPr>
        <w:pStyle w:val="Compact"/>
        <w:numPr>
          <w:ilvl w:val="0"/>
          <w:numId w:val="1008"/>
        </w:numPr>
      </w:pPr>
      <w:r>
        <w:t xml:space="preserve">Any update on the status or timing of remaining regulatory approvals;</w:t>
      </w:r>
    </w:p>
    <w:p>
      <w:pPr>
        <w:pStyle w:val="Compact"/>
        <w:numPr>
          <w:ilvl w:val="0"/>
          <w:numId w:val="1008"/>
        </w:numPr>
      </w:pPr>
      <w:r>
        <w:t xml:space="preserve">Any language suggesting an end-of-year rather than earlier second-half closing;</w:t>
      </w:r>
    </w:p>
    <w:p>
      <w:pPr>
        <w:pStyle w:val="Compact"/>
        <w:numPr>
          <w:ilvl w:val="0"/>
          <w:numId w:val="1008"/>
        </w:numPr>
      </w:pPr>
      <w:r>
        <w:t xml:space="preserve">Any indication that transaction expenses or operating disruption are rising.</w:t>
      </w:r>
    </w:p>
    <w:p>
      <w:pPr>
        <w:pStyle w:val="FirstParagraph"/>
      </w:pPr>
      <w:r>
        <w:t xml:space="preserve">Because consideration is partly paid in KMB shares, KVUE holders also retain exposure to KMB’s share price until closing. Thus, a tighter deal spread does not eliminate market risk: KVUE can move with KMB even if merger probability does not change.</w:t>
      </w:r>
    </w:p>
    <w:bookmarkEnd w:id="22"/>
    <w:bookmarkStart w:id="26" w:name="scenario-framework"/>
    <w:p>
      <w:pPr>
        <w:pStyle w:val="Heading2"/>
      </w:pPr>
      <w:r>
        <w:t xml:space="preserve">Scenario framework</w:t>
      </w:r>
    </w:p>
    <w:bookmarkStart w:id="23" w:name="bullish-outcome"/>
    <w:p>
      <w:pPr>
        <w:pStyle w:val="Heading3"/>
      </w:pPr>
      <w:r>
        <w:t xml:space="preserve">Bullish outcome</w:t>
      </w:r>
    </w:p>
    <w:p>
      <w:pPr>
        <w:pStyle w:val="Compact"/>
        <w:numPr>
          <w:ilvl w:val="0"/>
          <w:numId w:val="1009"/>
        </w:numPr>
      </w:pPr>
      <w:r>
        <w:t xml:space="preserve">Organic growth accelerates into the low-single digits with positive volume;</w:t>
      </w:r>
    </w:p>
    <w:p>
      <w:pPr>
        <w:pStyle w:val="Compact"/>
        <w:numPr>
          <w:ilvl w:val="0"/>
          <w:numId w:val="1009"/>
        </w:numPr>
      </w:pPr>
      <w:r>
        <w:t xml:space="preserve">Skin Health &amp; Beauty remains strong and Self Care improves;</w:t>
      </w:r>
    </w:p>
    <w:p>
      <w:pPr>
        <w:pStyle w:val="Compact"/>
        <w:numPr>
          <w:ilvl w:val="0"/>
          <w:numId w:val="1009"/>
        </w:numPr>
      </w:pPr>
      <w:r>
        <w:t xml:space="preserve">Adjusted margin holds near Q1’s elevated level;</w:t>
      </w:r>
    </w:p>
    <w:p>
      <w:pPr>
        <w:pStyle w:val="Compact"/>
        <w:numPr>
          <w:ilvl w:val="0"/>
          <w:numId w:val="1009"/>
        </w:numPr>
      </w:pPr>
      <w:r>
        <w:t xml:space="preserve">Free cash flow is solid;</w:t>
      </w:r>
    </w:p>
    <w:p>
      <w:pPr>
        <w:pStyle w:val="Compact"/>
        <w:numPr>
          <w:ilvl w:val="0"/>
          <w:numId w:val="1009"/>
        </w:numPr>
      </w:pPr>
      <w:r>
        <w:t xml:space="preserve">Kenvue clearly reiterates a timely second-half merger close.</w:t>
      </w:r>
    </w:p>
    <w:p>
      <w:pPr>
        <w:pStyle w:val="FirstParagraph"/>
      </w:pPr>
      <w:r>
        <w:rPr>
          <w:b/>
          <w:bCs/>
        </w:rPr>
        <w:t xml:space="preserve">Likely implication:</w:t>
      </w:r>
      <w:r>
        <w:t xml:space="preserve"> </w:t>
      </w:r>
      <w:r>
        <w:t xml:space="preserve">modest spread compression and/or KVUE tracking a stronger KMB share price.</w:t>
      </w:r>
    </w:p>
    <w:bookmarkEnd w:id="23"/>
    <w:bookmarkStart w:id="24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0"/>
        </w:numPr>
      </w:pPr>
      <w:r>
        <w:t xml:space="preserve">Organic growth is modestly positive, with FX supporting reported sales;</w:t>
      </w:r>
    </w:p>
    <w:p>
      <w:pPr>
        <w:pStyle w:val="Compact"/>
        <w:numPr>
          <w:ilvl w:val="0"/>
          <w:numId w:val="1010"/>
        </w:numPr>
      </w:pPr>
      <w:r>
        <w:t xml:space="preserve">Skin Health &amp; Beauty and Essential Health offset continued softness in Self Care;</w:t>
      </w:r>
    </w:p>
    <w:p>
      <w:pPr>
        <w:pStyle w:val="Compact"/>
        <w:numPr>
          <w:ilvl w:val="0"/>
          <w:numId w:val="1010"/>
        </w:numPr>
      </w:pPr>
      <w:r>
        <w:t xml:space="preserve">Margins remain healthy but do not materially expand from Q1;</w:t>
      </w:r>
    </w:p>
    <w:p>
      <w:pPr>
        <w:pStyle w:val="Compact"/>
        <w:numPr>
          <w:ilvl w:val="0"/>
          <w:numId w:val="1010"/>
        </w:numPr>
      </w:pPr>
      <w:r>
        <w:t xml:space="preserve">No substantive merger update beyond “on track.”</w:t>
      </w:r>
    </w:p>
    <w:p>
      <w:pPr>
        <w:pStyle w:val="FirstParagraph"/>
      </w:pPr>
      <w:r>
        <w:rPr>
          <w:b/>
          <w:bCs/>
        </w:rPr>
        <w:t xml:space="preserve">Likely implication:</w:t>
      </w:r>
      <w:r>
        <w:t xml:space="preserve"> </w:t>
      </w:r>
      <w:r>
        <w:t xml:space="preserve">limited standalone stock reaction; KVUE continues to trade largely as a function of KMB and deal timing.</w:t>
      </w:r>
    </w:p>
    <w:bookmarkEnd w:id="24"/>
    <w:bookmarkStart w:id="25" w:name="bearish-outcome"/>
    <w:p>
      <w:pPr>
        <w:pStyle w:val="Heading3"/>
      </w:pPr>
      <w:r>
        <w:t xml:space="preserve">Bearish outcome</w:t>
      </w:r>
    </w:p>
    <w:p>
      <w:pPr>
        <w:pStyle w:val="Compact"/>
        <w:numPr>
          <w:ilvl w:val="0"/>
          <w:numId w:val="1011"/>
        </w:numPr>
      </w:pPr>
      <w:r>
        <w:t xml:space="preserve">Volumes remain negative, especially in Self Care or North America;</w:t>
      </w:r>
    </w:p>
    <w:p>
      <w:pPr>
        <w:pStyle w:val="Compact"/>
        <w:numPr>
          <w:ilvl w:val="0"/>
          <w:numId w:val="1011"/>
        </w:numPr>
      </w:pPr>
      <w:r>
        <w:t xml:space="preserve">Tariffs, promotion, or brand investment pressure margins;</w:t>
      </w:r>
    </w:p>
    <w:p>
      <w:pPr>
        <w:pStyle w:val="Compact"/>
        <w:numPr>
          <w:ilvl w:val="0"/>
          <w:numId w:val="1011"/>
        </w:numPr>
      </w:pPr>
      <w:r>
        <w:t xml:space="preserve">Cash conversion weakens;</w:t>
      </w:r>
    </w:p>
    <w:p>
      <w:pPr>
        <w:pStyle w:val="Compact"/>
        <w:numPr>
          <w:ilvl w:val="0"/>
          <w:numId w:val="1011"/>
        </w:numPr>
      </w:pPr>
      <w:r>
        <w:t xml:space="preserve">Management cites regulatory/timing uncertainty or provides a less confident closing update.</w:t>
      </w:r>
    </w:p>
    <w:p>
      <w:pPr>
        <w:pStyle w:val="FirstParagraph"/>
      </w:pPr>
      <w:r>
        <w:rPr>
          <w:b/>
          <w:bCs/>
        </w:rPr>
        <w:t xml:space="preserve">Likely implication:</w:t>
      </w:r>
      <w:r>
        <w:t xml:space="preserve"> </w:t>
      </w:r>
      <w:r>
        <w:t xml:space="preserve">deal-spread widening, with downside potentially greater than the limited upside from an ordinary earnings beat.</w:t>
      </w:r>
    </w:p>
    <w:bookmarkEnd w:id="25"/>
    <w:bookmarkEnd w:id="26"/>
    <w:bookmarkStart w:id="27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core operating thesis is improving: Q1 showed that Kenvue can combine modest organic growth with substantial margin improvement, and Q2 faces an easier year-ago sales comparison. But for KVUE shareholders,</w:t>
      </w:r>
      <w:r>
        <w:t xml:space="preserve"> </w:t>
      </w:r>
      <w:r>
        <w:rPr>
          <w:b/>
          <w:bCs/>
        </w:rPr>
        <w:t xml:space="preserve">merger execution is more important than a few cents of quarterly EPS</w:t>
      </w:r>
      <w:r>
        <w:t xml:space="preserve">.</w:t>
      </w:r>
    </w:p>
    <w:p>
      <w:pPr>
        <w:pStyle w:val="BodyText"/>
      </w:pPr>
      <w:r>
        <w:t xml:space="preserve">The highest-value disclosures will be</w:t>
      </w:r>
      <w:r>
        <w:t xml:space="preserve"> </w:t>
      </w:r>
      <w:r>
        <w:rPr>
          <w:b/>
          <w:bCs/>
        </w:rPr>
        <w:t xml:space="preserve">volume trends, Skin Health &amp; Beauty durability, margin/cash-flow conversion, and—above all—confirmation that the Kimberly-Clark deal remains on schedule for a second-half 2026 close</w:t>
      </w:r>
      <w:r>
        <w:t xml:space="preserve">.</w:t>
      </w:r>
    </w:p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https://investors.kenvue.com/financial-news/news-details/2025/Kenvue-Reports-Second-Quarter-2025-Results/?utm_source=openai" TargetMode="External" /><Relationship Type="http://schemas.openxmlformats.org/officeDocument/2006/relationships/hyperlink" Id="rId11" Target="https://investors.kenvue.com/financial-news/news-details/2026/Kenvue-Reports-First-Quarter-2026-Results/default.aspx?utm_source=openai" TargetMode="External" /><Relationship Type="http://schemas.openxmlformats.org/officeDocument/2006/relationships/hyperlink" Id="rId21" Target="https://www.investor.kimberly-clark.com/news-releases/news-release-details/kimberly-clark-and-kenvue-shareholders-overwhelmingly-approve?utm_source=openai" TargetMode="External" /><Relationship Type="http://schemas.openxmlformats.org/officeDocument/2006/relationships/hyperlink" Id="rId9" Target="https://www.investor.kimberly-clark.com/static-files/d8c4c4ab-b9e0-48c9-bd0f-03f9d7fa99e1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https://investors.kenvue.com/financial-news/news-details/2025/Kenvue-Reports-Second-Quarter-2025-Results/?utm_source=openai" TargetMode="External" /><Relationship Type="http://schemas.openxmlformats.org/officeDocument/2006/relationships/hyperlink" Id="rId11" Target="https://investors.kenvue.com/financial-news/news-details/2026/Kenvue-Reports-First-Quarter-2026-Results/default.aspx?utm_source=openai" TargetMode="External" /><Relationship Type="http://schemas.openxmlformats.org/officeDocument/2006/relationships/hyperlink" Id="rId21" Target="https://www.investor.kimberly-clark.com/news-releases/news-release-details/kimberly-clark-and-kenvue-shareholders-overwhelmingly-approve?utm_source=openai" TargetMode="External" /><Relationship Type="http://schemas.openxmlformats.org/officeDocument/2006/relationships/hyperlink" Id="rId9" Target="https://www.investor.kimberly-clark.com/static-files/d8c4c4ab-b9e0-48c9-bd0f-03f9d7fa99e1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2026-08-06T00:52:27Z</dcterms:created>
  <dcterms:modified xsi:type="dcterms:W3CDTF">2026-08-06T00:52:27Z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