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kvue-earnings-predictions--2026-08-06"/>
    <w:p>
      <w:pPr>
        <w:pStyle w:val="Heading1"/>
      </w:pPr>
      <w:r>
        <w:t xml:space="preserve">KVUE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KVUE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Sales Growth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~+1.8% vs. cons +2.47%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KVUE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~$0.325 vs. cons $0.313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KVUE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Gross Margin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~61.2% vs. cons ~61.0%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KVUE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Organic trajectory / 2H tone (qualitative, FY2026)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measured/cautious; implies 2H organic below ~+2.5-3% embedded in FY cons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KVUE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KMB merger close (qualitative)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reaffirm on track for 2H 2026 close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KVUE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KVUE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-3.0% (FADE)</w:t>
            </w:r>
          </w:p>
        </w:tc>
        <w:tc>
          <w:tcPr/>
          <w:p>
            <w:pPr>
              <w:pStyle w:val="Compact"/>
            </w:pPr>
            <w:r>
              <w:t xml:space="preserve">FADE — organic miss drives modest sell-side revenue cuts; EPS beat provides floor but does not offset implicit forward cut signal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2026-08-07T20:44:00Z</dcterms:created>
  <dcterms:modified xsi:type="dcterms:W3CDTF">2026-08-07T20:44:00Z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