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I'll research LDOS before writing the preview. Let me start by gathering recent earnings materials, filings, news, and price data.Let me read the most recent earnings materials (2026Q1) and the year-ago quarter for context.Now let me get the year-ago Q2 comp, recent stock price, and analyst expectations.The stock has fallen dramatically (from ~</w:t>
      </w:r>
      <m:oMath>
        <m:r>
          <m:t>198</m:t>
        </m:r>
        <m:r>
          <m:t>i</m:t>
        </m:r>
        <m:r>
          <m:t>n</m:t>
        </m:r>
        <m:r>
          <m:t>J</m:t>
        </m:r>
        <m:r>
          <m:t>a</m:t>
        </m:r>
        <m:r>
          <m:t>n</m:t>
        </m:r>
        <m:r>
          <m:t>t</m:t>
        </m:r>
        <m:r>
          <m:t>o</m:t>
        </m:r>
        <m:r>
          <m:t> </m:t>
        </m:r>
      </m:oMath>
      <w:r>
        <w:t xml:space="preserve">100 in late June, now ~$119). Let me get recent news and analyst expectations to understand the setup.Let me get more context on the stock's sharp decline and recent analyst sentiment.I now have a comprehensive picture. Let me write the preview.</w:t>
      </w:r>
    </w:p>
    <w:bookmarkStart w:id="17" w:name="X2889254d6c3e90ea5a9a25cda409235a4ebe0de"/>
    <w:p>
      <w:pPr>
        <w:pStyle w:val="Heading1"/>
      </w:pPr>
      <w:r>
        <w:t xml:space="preserve">Leidos Holdings (LDOS) — Q2 FY2026 Earnings Preview</w:t>
      </w:r>
    </w:p>
    <w:p>
      <w:pPr>
        <w:pStyle w:val="FirstParagraph"/>
      </w:pPr>
      <w:r>
        <w:rPr>
          <w:b/>
          <w:bCs/>
        </w:rPr>
        <w:t xml:space="preserve">Report date:</w:t>
      </w:r>
      <w:r>
        <w:t xml:space="preserve"> </w:t>
      </w:r>
      <w:r>
        <w:t xml:space="preserve">Tuesday, August 4, 2026 (before market open) ·</w:t>
      </w:r>
      <w:r>
        <w:t xml:space="preserve"> </w:t>
      </w:r>
      <w:r>
        <w:rPr>
          <w:b/>
          <w:bCs/>
        </w:rPr>
        <w:t xml:space="preserve">Event:</w:t>
      </w:r>
      <w:r>
        <w:t xml:space="preserve"> </w:t>
      </w:r>
      <w:r>
        <w:t xml:space="preserve">Q2 FY2026 Earnings Call</w:t>
      </w:r>
      <w:r>
        <w:t xml:space="preserve"> </w:t>
      </w:r>
      <w:r>
        <w:rPr>
          <w:b/>
          <w:bCs/>
        </w:rPr>
        <w:t xml:space="preserve">Stock (8/3/26 close):</w:t>
      </w:r>
      <w:r>
        <w:t xml:space="preserve"> </w:t>
      </w:r>
      <w:r>
        <w:t xml:space="preserve">~</w:t>
      </w:r>
      <m:oMath>
        <m:r>
          <m:t>118.75</m:t>
        </m:r>
        <m:r>
          <m:rPr>
            <m:sty m:val="p"/>
          </m:rPr>
          <m:t>·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C</m:t>
        </m:r>
        <m:r>
          <m:t>o</m:t>
        </m:r>
        <m:r>
          <m:t>n</m:t>
        </m:r>
        <m:r>
          <m:t>s</m:t>
        </m:r>
        <m:r>
          <m:t>e</m:t>
        </m:r>
        <m:r>
          <m:t>n</m:t>
        </m:r>
        <m:r>
          <m:t>s</m:t>
        </m:r>
        <m:r>
          <m:t>u</m:t>
        </m:r>
        <m:r>
          <m:t>s</m:t>
        </m:r>
        <m:r>
          <m:rPr>
            <m:sty m:val="p"/>
          </m:rPr>
          <m:t>: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R</m:t>
        </m:r>
        <m:r>
          <m:t>e</m:t>
        </m:r>
        <m:r>
          <m:t>v</m:t>
        </m:r>
        <m:r>
          <m:t>e</m:t>
        </m:r>
        <m:r>
          <m:t>n</m:t>
        </m:r>
        <m:r>
          <m:t>u</m:t>
        </m:r>
        <m:r>
          <m:t>e</m:t>
        </m:r>
        <m:r>
          <m:t> </m:t>
        </m:r>
      </m:oMath>
      <w:r>
        <w:t xml:space="preserve">4.43B, non-GAAP EPS ~$2.90</w:t>
      </w:r>
    </w:p>
    <w:p>
      <w:r>
        <w:pict>
          <v:rect style="width:0;height:1.5pt" o:hralign="center" o:hrstd="t" o:hr="t"/>
        </w:pict>
      </w:r>
    </w:p>
    <w:bookmarkStart w:id="9" w:name="the-one-sentence-setup"/>
    <w:p>
      <w:pPr>
        <w:pStyle w:val="Heading2"/>
      </w:pPr>
      <w:r>
        <w:t xml:space="preserve">The one-sentence setup</w:t>
      </w:r>
    </w:p>
    <w:p>
      <w:pPr>
        <w:pStyle w:val="FirstParagraph"/>
      </w:pPr>
      <w:r>
        <w:t xml:space="preserve">LDOS enters this print as a broken momentum story trading at a deep-value multiple: the stock has been cut roughly in half from its January ~$198 high to a late-June low near</w:t>
      </w:r>
      <w:r>
        <w:t xml:space="preserve"> </w:t>
      </w:r>
      <m:oMath>
        <m:r>
          <m:t>100</m:t>
        </m:r>
        <m:r>
          <m:t>b</m:t>
        </m:r>
        <m:r>
          <m:t>e</m:t>
        </m:r>
        <m:r>
          <m:t>f</m:t>
        </m:r>
        <m:r>
          <m:t>o</m:t>
        </m:r>
        <m:r>
          <m:t>r</m:t>
        </m:r>
        <m:r>
          <m:t>e</m:t>
        </m:r>
        <m:r>
          <m:t>a</m:t>
        </m:r>
        <m:r>
          <m:t>r</m:t>
        </m:r>
        <m:r>
          <m:t>e</m:t>
        </m:r>
        <m:r>
          <m:t>c</m:t>
        </m:r>
        <m:r>
          <m:t>e</m:t>
        </m:r>
        <m:r>
          <m:t>n</m:t>
        </m:r>
        <m:r>
          <m:t>t</m:t>
        </m:r>
        <m:r>
          <m:t>b</m:t>
        </m:r>
        <m:r>
          <m:t>o</m:t>
        </m:r>
        <m:r>
          <m:t>u</m:t>
        </m:r>
        <m:r>
          <m:t>n</m:t>
        </m:r>
        <m:r>
          <m:t>c</m:t>
        </m:r>
        <m:r>
          <m:t>e</m:t>
        </m:r>
        <m:r>
          <m:t>t</m:t>
        </m:r>
        <m:r>
          <m:t>o</m:t>
        </m:r>
        <m:r>
          <m:t> </m:t>
        </m:r>
      </m:oMath>
      <w:r>
        <w:t xml:space="preserve">119. Management itself pre-warned that</w:t>
      </w:r>
      <w:r>
        <w:t xml:space="preserve"> </w:t>
      </w:r>
      <w:r>
        <w:rPr>
          <w:b/>
          <w:bCs/>
        </w:rPr>
        <w:t xml:space="preserve">Q2 would be the "low point" of the year for both revenue growth and margin</w:t>
      </w:r>
      <w:r>
        <w:t xml:space="preserve">, so the debate is less about the quarter's optics and more about whether the Health segment overhang is a one-year reset or a structural crack — and whether full-year guidance holds.</w:t>
      </w:r>
    </w:p>
    <w:p>
      <w:r>
        <w:pict>
          <v:rect style="width:0;height:1.5pt" o:hralign="center" o:hrstd="t" o:hr="t"/>
        </w:pict>
      </w:r>
    </w:p>
    <w:bookmarkEnd w:id="9"/>
    <w:bookmarkStart w:id="10" w:name="why-the-stock-got-cut-in-half"/>
    <w:p>
      <w:pPr>
        <w:pStyle w:val="Heading2"/>
      </w:pPr>
      <w:r>
        <w:t xml:space="preserve">Why the stock got cut in half</w:t>
      </w:r>
    </w:p>
    <w:p>
      <w:pPr>
        <w:pStyle w:val="FirstParagraph"/>
      </w:pPr>
      <w:r>
        <w:t xml:space="preserve">Three overlapping fears drove the derating through 1H26: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Health "overearning" fears (started January).</w:t>
      </w:r>
      <w:r>
        <w:t xml:space="preserve"> </w:t>
      </w:r>
      <w:r>
        <w:t xml:space="preserve">Stifel downgraded to Hold in early January on concerns that growth from the high-margin VA Compensation &amp; Pension (disability) exams business would moderate in 2026 as the VA backlog normalizes and a fourth vendor enters.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DHMSM / MHS GENESIS shock (mid-June).</w:t>
      </w:r>
      <w:r>
        <w:t xml:space="preserve"> </w:t>
      </w:r>
      <w:r>
        <w:t xml:space="preserve">The Defense Health Agency signaled it may reduce its reliance on Leidos as lead systems integrator for the military's electronic health record program — a franchise Leidos architected. This triggered a wave of downgrades (BofA to Neutral, PT</w:t>
      </w:r>
      <w:r>
        <w:t xml:space="preserve"> </w:t>
      </w:r>
      <m:oMath>
        <m:r>
          <m:t>200</m:t>
        </m:r>
        <m:r>
          <m:rPr>
            <m:sty m:val="p"/>
          </m:rPr>
          <m:t>→</m:t>
        </m:r>
      </m:oMath>
      <w:r>
        <w:t xml:space="preserve">125; Jefferies PT cut to $140, later to $110; JPMorgan held Overweight but cut PT</w:t>
      </w:r>
      <w:r>
        <w:t xml:space="preserve"> </w:t>
      </w:r>
      <m:oMath>
        <m:r>
          <m:t>210</m:t>
        </m:r>
        <m:r>
          <m:rPr>
            <m:sty m:val="p"/>
          </m:rPr>
          <m:t>→</m:t>
        </m:r>
      </m:oMath>
      <w:r>
        <w:t xml:space="preserve">160; Goldman</w:t>
      </w:r>
      <w:r>
        <w:t xml:space="preserve"> </w:t>
      </w:r>
      <m:oMath>
        <m:r>
          <m:t>171</m:t>
        </m:r>
        <m:r>
          <m:rPr>
            <m:sty m:val="p"/>
          </m:rPr>
          <m:t>→</m:t>
        </m:r>
      </m:oMath>
      <w:r>
        <w:t xml:space="preserve">152).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Defense-spending / margin durability doubts.</w:t>
      </w:r>
      <w:r>
        <w:t xml:space="preserve"> </w:t>
      </w:r>
      <w:r>
        <w:t xml:space="preserve">Skepticism that 15%+ margins can persist amid budget uncertainty and a rising investment cycle.</w:t>
      </w:r>
    </w:p>
    <w:p>
      <w:pPr>
        <w:pStyle w:val="FirstParagraph"/>
      </w:pPr>
      <w:r>
        <w:t xml:space="preserve">Net: the stock screens near ~10x trailing / ~9-10x forward EPS versus a ~20x historical average — cheap enough that the bull case is now "is the bad news priced in?"</w:t>
      </w:r>
    </w:p>
    <w:p>
      <w:r>
        <w:pict>
          <v:rect style="width:0;height:1.5pt" o:hralign="center" o:hrstd="t" o:hr="t"/>
        </w:pict>
      </w:r>
    </w:p>
    <w:bookmarkEnd w:id="10"/>
    <w:bookmarkStart w:id="11" w:name="what-consensus-expects-for-q2"/>
    <w:p>
      <w:pPr>
        <w:pStyle w:val="Heading2"/>
      </w:pPr>
      <w:r>
        <w:t xml:space="preserve">What consensus expects for Q2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Q2 FY25 (actual)</w:t>
            </w:r>
          </w:p>
        </w:tc>
        <w:tc>
          <w:tcPr/>
          <w:p>
            <w:pPr>
              <w:pStyle w:val="Compact"/>
            </w:pPr>
            <w:r>
              <w:t xml:space="preserve">Q2 FY26 (consensus)</w:t>
            </w:r>
          </w:p>
        </w:tc>
        <w:tc>
          <w:tcPr/>
          <w:p>
            <w:pPr>
              <w:pStyle w:val="Compact"/>
            </w:pPr>
            <w:r>
              <w:t xml:space="preserve">Implied Y/Y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$4,253M</w:t>
            </w:r>
          </w:p>
        </w:tc>
        <w:tc>
          <w:tcPr/>
          <w:p>
            <w:pPr>
              <w:pStyle w:val="Compact"/>
            </w:pPr>
            <w:r>
              <w:t xml:space="preserve">~$4,435M</w:t>
            </w:r>
          </w:p>
        </w:tc>
        <w:tc>
          <w:tcPr/>
          <w:p>
            <w:pPr>
              <w:pStyle w:val="Compact"/>
            </w:pPr>
            <w:r>
              <w:t xml:space="preserve">+~4%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Non-GAAP EPS</w:t>
            </w:r>
          </w:p>
        </w:tc>
        <w:tc>
          <w:tcPr/>
          <w:p>
            <w:pPr>
              <w:pStyle w:val="Compact"/>
            </w:pPr>
            <w:r>
              <w:t xml:space="preserve">$3.21 (record, +22%)</w:t>
            </w:r>
          </w:p>
        </w:tc>
        <w:tc>
          <w:tcPr/>
          <w:p>
            <w:pPr>
              <w:pStyle w:val="Compact"/>
            </w:pPr>
            <w:r>
              <w:t xml:space="preserve">~$2.90</w:t>
            </w:r>
          </w:p>
        </w:tc>
        <w:tc>
          <w:tcPr/>
          <w:p>
            <w:pPr>
              <w:pStyle w:val="Compact"/>
            </w:pPr>
            <w:r>
              <w:t xml:space="preserve">~-9%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Adj. EBITDA margin</w:t>
            </w:r>
          </w:p>
        </w:tc>
        <w:tc>
          <w:tcPr/>
          <w:p>
            <w:pPr>
              <w:pStyle w:val="Compact"/>
            </w:pPr>
            <w:r>
              <w:t xml:space="preserve">15.2% (record)</w:t>
            </w:r>
          </w:p>
        </w:tc>
        <w:tc>
          <w:tcPr/>
          <w:p>
            <w:pPr>
              <w:pStyle w:val="Compact"/>
            </w:pPr>
            <w:r>
              <w:t xml:space="preserve">~13-14%</w:t>
            </w:r>
          </w:p>
        </w:tc>
        <w:tc>
          <w:tcPr/>
          <w:p>
            <w:pPr>
              <w:pStyle w:val="Compact"/>
            </w:pPr>
            <w:r>
              <w:t xml:space="preserve">Down</w:t>
            </w:r>
          </w:p>
        </w:tc>
      </w:tr>
    </w:tbl>
    <w:p>
      <w:pPr>
        <w:pStyle w:val="BodyText"/>
      </w:pPr>
      <w:r>
        <w:rPr>
          <w:b/>
          <w:bCs/>
        </w:rPr>
        <w:t xml:space="preserve">This is the toughest comp of the year.</w:t>
      </w:r>
      <w:r>
        <w:t xml:space="preserve"> </w:t>
      </w:r>
      <w:r>
        <w:t xml:space="preserve">Q2 FY25 was a</w:t>
      </w:r>
      <w:r>
        <w:t xml:space="preserve"> </w:t>
      </w:r>
      <w:r>
        <w:rPr>
          <w:i/>
          <w:iCs/>
        </w:rPr>
        <w:t xml:space="preserve">record</w:t>
      </w:r>
      <w:r>
        <w:t xml:space="preserve"> </w:t>
      </w:r>
      <w:r>
        <w:t xml:space="preserve">quarter — 15.2% adjusted EBITDA margin and 22% EPS growth — and it was flattered by a</w:t>
      </w:r>
      <w:r>
        <w:t xml:space="preserve"> </w:t>
      </w:r>
      <w:r>
        <w:rPr>
          <w:b/>
          <w:bCs/>
        </w:rPr>
        <w:t xml:space="preserve">$25M insurance reimbursement</w:t>
      </w:r>
      <w:r>
        <w:t xml:space="preserve"> </w:t>
      </w:r>
      <w:r>
        <w:t xml:space="preserve">for legal costs that will not repeat. On the Q1 call, CFO Chris Cage explicitly framed Q2 as roughly similar to Q1 on run-rate "maybe a small step down," with margin pressured by the absence of that insurance benefit and by</w:t>
      </w:r>
      <w:r>
        <w:t xml:space="preserve"> </w:t>
      </w:r>
      <w:r>
        <w:rPr>
          <w:b/>
          <w:bCs/>
        </w:rPr>
        <w:t xml:space="preserve">rising near-term growth investments</w:t>
      </w:r>
      <w:r>
        <w:t xml:space="preserve"> </w:t>
      </w:r>
      <w:r>
        <w:t xml:space="preserve">to lock in franchise positions (Military OneSource, My Service Treatment Record, and multiple Defense product lines). A single-digit EPS decline is therefore the expected, pre-communicated shape — a headline miss/beat matters less than the guide and Health commentary.</w:t>
      </w:r>
    </w:p>
    <w:p>
      <w:r>
        <w:pict>
          <v:rect style="width:0;height:1.5pt" o:hralign="center" o:hrstd="t" o:hr="t"/>
        </w:pict>
      </w:r>
    </w:p>
    <w:bookmarkEnd w:id="11"/>
    <w:bookmarkStart w:id="12" w:name="X723d3a9d5f3369d539809259260d9fdc5df5015"/>
    <w:p>
      <w:pPr>
        <w:pStyle w:val="Heading2"/>
      </w:pPr>
      <w:r>
        <w:t xml:space="preserve">Key debate #1: Health — the whole story right now</w:t>
      </w:r>
    </w:p>
    <w:p>
      <w:pPr>
        <w:pStyle w:val="FirstParagraph"/>
      </w:pPr>
      <w:r>
        <w:t xml:space="preserve">Health is ~27% of revenue but carries the company's richest margins (Q1 FY26 non-GAAP operating margin ~24.2%), so any reset flows disproportionately to EPS. Watch for: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VBA disability exam volumes.</w:t>
      </w:r>
      <w:r>
        <w:t xml:space="preserve"> </w:t>
      </w:r>
      <w:r>
        <w:t xml:space="preserve">Management said Q1 volumes "remained high" and the VA is still burning down backlog. The bear case is these volumes normalize and a fourth vendor pressures share — the "overearning" thesis.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The VBA recompete / Industry Day follow-through.</w:t>
      </w:r>
      <w:r>
        <w:t xml:space="preserve"> </w:t>
      </w:r>
      <w:r>
        <w:t xml:space="preserve">A customer Industry Day was held in late May; investors will want any read on contract structure, timing, and Leidos's expected share going forward.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DHMSM / MHS GENESIS extension.</w:t>
      </w:r>
      <w:r>
        <w:t xml:space="preserve"> </w:t>
      </w:r>
      <w:r>
        <w:t xml:space="preserve">On the Q1 call, Tom Bell said he expected "near-term continuity through an extension mechanism" — but the mid-June DHA news suggests the customer wants a new lead integrator longer-term.</w:t>
      </w:r>
      <w:r>
        <w:t xml:space="preserve"> </w:t>
      </w:r>
      <w:r>
        <w:rPr>
          <w:b/>
          <w:bCs/>
        </w:rPr>
        <w:t xml:space="preserve">This is the single most important qualitative update in the print.</w:t>
      </w:r>
      <w:r>
        <w:t xml:space="preserve"> </w:t>
      </w:r>
      <w:r>
        <w:t xml:space="preserve">Any clarity (extension terms, transition timeline, revenue at risk) will move the stock.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The offsets management is selling:</w:t>
      </w:r>
      <w:r>
        <w:t xml:space="preserve"> </w:t>
      </w:r>
      <w:r>
        <w:t xml:space="preserve">the $456M Military OneSource directed award, the My Service Treatment Record AI pilot, and expansion into behavioral/rural health as the new "managed health" growth pillar. CFO framed FY26 Health as a "modest reset" with a growth trajectory beyond. Investors need evidence the growth pillars can backfill the exam/DHMSM risk.</w:t>
      </w:r>
    </w:p>
    <w:bookmarkEnd w:id="12"/>
    <w:bookmarkStart w:id="13" w:name="X40d852017d8d8ad23648ed5320c50711996dc36"/>
    <w:p>
      <w:pPr>
        <w:pStyle w:val="Heading2"/>
      </w:pPr>
      <w:r>
        <w:t xml:space="preserve">Key debate #2: Margins and the investment ramp</w:t>
      </w:r>
    </w:p>
    <w:p>
      <w:pPr>
        <w:pStyle w:val="Compact"/>
        <w:numPr>
          <w:ilvl w:val="0"/>
          <w:numId w:val="1003"/>
        </w:numPr>
      </w:pPr>
      <w:r>
        <w:t xml:space="preserve">Q1 adj. EBITDA margin was 14.0% (vs 14.2% a year ago); FY guide is "mid-13%," implying</w:t>
      </w:r>
      <w:r>
        <w:t xml:space="preserve"> </w:t>
      </w:r>
      <w:r>
        <w:rPr>
          <w:b/>
          <w:bCs/>
        </w:rPr>
        <w:t xml:space="preserve">margin steps down over the balance of the year</w:t>
      </w:r>
      <w:r>
        <w:t xml:space="preserve"> </w:t>
      </w:r>
      <w:r>
        <w:t xml:space="preserve">as investments ramp and mix shifts toward lower-margin products/Entrust.</w:t>
      </w:r>
    </w:p>
    <w:p>
      <w:pPr>
        <w:pStyle w:val="Compact"/>
        <w:numPr>
          <w:ilvl w:val="0"/>
          <w:numId w:val="1003"/>
        </w:numPr>
      </w:pPr>
      <w:r>
        <w:t xml:space="preserve">Segment margin watch points from Q1:</w:t>
      </w:r>
      <w:r>
        <w:t xml:space="preserve"> </w:t>
      </w:r>
      <w:r>
        <w:rPr>
          <w:b/>
          <w:bCs/>
        </w:rPr>
        <w:t xml:space="preserve">Defense</w:t>
      </w:r>
      <w:r>
        <w:t xml:space="preserve"> </w:t>
      </w:r>
      <w:r>
        <w:t xml:space="preserve">non-GAAP OM fell to 8.3% (from 9.8%) on a fixed-price development program schedule delay (Space Wide Field of View / Tranche 1);</w:t>
      </w:r>
      <w:r>
        <w:t xml:space="preserve"> </w:t>
      </w:r>
      <w:r>
        <w:rPr>
          <w:b/>
          <w:bCs/>
        </w:rPr>
        <w:t xml:space="preserve">Homeland</w:t>
      </w:r>
      <w:r>
        <w:t xml:space="preserve"> </w:t>
      </w:r>
      <w:r>
        <w:t xml:space="preserve">non-GAAP OM slipped to 8.5% on changing requirements on a fixed-price program. Management expects both to improve as new higher-margin programs (IFPC, PAMS, ABAD) ramp — look for confirmation.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CapEx cadence:</w:t>
      </w:r>
      <w:r>
        <w:t xml:space="preserve"> </w:t>
      </w:r>
      <w:r>
        <w:t xml:space="preserve">management guided ~$350M for the year (a ~3x step-up) but spent only $31M in Q1. A Q2 acceleration would pressure free cash flow but signal the Defense production ramp is real.</w:t>
      </w:r>
    </w:p>
    <w:bookmarkEnd w:id="13"/>
    <w:bookmarkStart w:id="14" w:name="key-debate-3-full-year-guidance"/>
    <w:p>
      <w:pPr>
        <w:pStyle w:val="Heading2"/>
      </w:pPr>
      <w:r>
        <w:t xml:space="preserve">Key debate #3: Full-year guidance</w:t>
      </w:r>
    </w:p>
    <w:p>
      <w:pPr>
        <w:pStyle w:val="FirstParagraph"/>
      </w:pPr>
      <w:r>
        <w:t xml:space="preserve">Current FY26 guide (raised at Q1, mostly on Entrust):</w:t>
      </w:r>
      <w:r>
        <w:t xml:space="preserve"> </w:t>
      </w:r>
      <w:r>
        <w:rPr>
          <w:b/>
          <w:bCs/>
        </w:rPr>
        <w:t xml:space="preserve">Revenue $18.0-18.4B, adj. EBITDA margin mid-13%, non-GAAP EPS</w:t>
      </w:r>
      <w:r>
        <w:rPr>
          <w:b/>
          <w:bCs/>
        </w:rPr>
        <w:t xml:space="preserve"> </w:t>
      </w:r>
      <m:oMath>
        <m:r>
          <m:t>12.10</m:t>
        </m:r>
        <m:r>
          <m:rPr>
            <m:sty m:val="p"/>
          </m:rPr>
          <m:t>−</m:t>
        </m:r>
        <m:r>
          <m:t>12.50</m:t>
        </m:r>
        <m:r>
          <m:rPr>
            <m:sty m:val="p"/>
          </m:rPr>
          <m:t>,</m:t>
        </m:r>
        <m:r>
          <m:t>O</m:t>
        </m:r>
        <m:r>
          <m:t>C</m:t>
        </m:r>
        <m:r>
          <m:t>F</m:t>
        </m:r>
        <m:r>
          <m:t> </m:t>
        </m:r>
      </m:oMath>
      <w:r>
        <w:rPr>
          <w:b/>
          <w:bCs/>
        </w:rPr>
        <w:t xml:space="preserve">1.8B.</w:t>
      </w:r>
    </w:p>
    <w:p>
      <w:pPr>
        <w:pStyle w:val="Compact"/>
        <w:numPr>
          <w:ilvl w:val="0"/>
          <w:numId w:val="1004"/>
        </w:numPr>
      </w:pPr>
      <w:r>
        <w:t xml:space="preserve">With Q1 non-GAAP EPS of</w:t>
      </w:r>
      <w:r>
        <w:t xml:space="preserve"> </w:t>
      </w:r>
      <m:oMath>
        <m:r>
          <m:t>3.13</m:t>
        </m:r>
        <m:r>
          <m:t>a</m:t>
        </m:r>
        <m:r>
          <m:t>n</m:t>
        </m:r>
        <m:r>
          <m:t>d</m:t>
        </m:r>
        <m:r>
          <m:t>Q</m:t>
        </m:r>
        <m:r>
          <m:t>2</m:t>
        </m:r>
        <m:r>
          <m:t>c</m:t>
        </m:r>
        <m:r>
          <m:t>o</m:t>
        </m:r>
        <m:r>
          <m:t>n</m:t>
        </m:r>
        <m:r>
          <m:t>s</m:t>
        </m:r>
        <m:r>
          <m:t>e</m:t>
        </m:r>
        <m:r>
          <m:t>n</m:t>
        </m:r>
        <m:r>
          <m:t>s</m:t>
        </m:r>
        <m:r>
          <m:t>u</m:t>
        </m:r>
        <m:r>
          <m:t>s</m:t>
        </m:r>
        <m:r>
          <m:t> </m:t>
        </m:r>
      </m:oMath>
      <w:r>
        <w:t xml:space="preserve">2.90, the model requires a</w:t>
      </w:r>
      <w:r>
        <w:t xml:space="preserve"> </w:t>
      </w:r>
      <w:r>
        <w:rPr>
          <w:b/>
          <w:bCs/>
        </w:rPr>
        <w:t xml:space="preserve">meaningful 2H acceleration</w:t>
      </w:r>
      <w:r>
        <w:t xml:space="preserve"> </w:t>
      </w:r>
      <w:r>
        <w:t xml:space="preserve">— management insists Q3/Q4 is a "step function" up as post-shutdown procurement recovers. Credibility of that back-half hockey stick is the crux.</w:t>
      </w:r>
    </w:p>
    <w:p>
      <w:pPr>
        <w:pStyle w:val="Compact"/>
        <w:numPr>
          <w:ilvl w:val="0"/>
          <w:numId w:val="1004"/>
        </w:numPr>
      </w:pPr>
      <w:r>
        <w:t xml:space="preserve">Watch whether they</w:t>
      </w:r>
      <w:r>
        <w:t xml:space="preserve"> </w:t>
      </w:r>
      <w:r>
        <w:rPr>
          <w:b/>
          <w:bCs/>
        </w:rPr>
        <w:t xml:space="preserve">hold, raise, or trim</w:t>
      </w:r>
      <w:r>
        <w:t xml:space="preserve"> </w:t>
      </w:r>
      <w:r>
        <w:t xml:space="preserve">guidance, and how they frame the pending</w:t>
      </w:r>
      <w:r>
        <w:t xml:space="preserve"> </w:t>
      </w:r>
      <w:r>
        <w:rPr>
          <w:b/>
          <w:bCs/>
        </w:rPr>
        <w:t xml:space="preserve">SES/Analogic security-products JV</w:t>
      </w:r>
      <w:r>
        <w:t xml:space="preserve"> </w:t>
      </w:r>
      <w:r>
        <w:t xml:space="preserve">(expected to close in 2H; not yet in guidance — will remove SES revenue and instead book ~40% equity-method income).</w:t>
      </w:r>
    </w:p>
    <w:p>
      <w:r>
        <w:pict>
          <v:rect style="width:0;height:1.5pt" o:hralign="center" o:hrstd="t" o:hr="t"/>
        </w:pict>
      </w:r>
    </w:p>
    <w:bookmarkEnd w:id="14"/>
    <w:bookmarkStart w:id="15" w:name="bookings-backlog-and-other-watch-items"/>
    <w:p>
      <w:pPr>
        <w:pStyle w:val="Heading2"/>
      </w:pPr>
      <w:r>
        <w:t xml:space="preserve">Bookings, backlog and other watch items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Book-to-bill:</w:t>
      </w:r>
      <w:r>
        <w:t xml:space="preserve"> </w:t>
      </w:r>
      <w:r>
        <w:t xml:space="preserve">Q1 was a soft 0.8 (TTM 1.1x); backlog</w:t>
      </w:r>
      <w:r>
        <w:t xml:space="preserve"> </w:t>
      </w:r>
      <m:oMath>
        <m:r>
          <m:t>48.4</m:t>
        </m:r>
        <m:r>
          <m:t>B</m:t>
        </m:r>
        <m:r>
          <m:rPr>
            <m:sty m:val="p"/>
          </m:rPr>
          <m:t>(</m:t>
        </m:r>
      </m:oMath>
      <w:r>
        <w:t xml:space="preserve">9.6B funded). Management expects awards to "pick up significantly." A book-to-bill back above ~1.0x would help the recovery narrative; ~70% of the 12-month pipeline is new/takeaway business.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Capital return:</w:t>
      </w:r>
      <w:r>
        <w:t xml:space="preserve"> </w:t>
      </w:r>
      <w:r>
        <w:t xml:space="preserve">The board</w:t>
      </w:r>
      <w:r>
        <w:t xml:space="preserve"> </w:t>
      </w:r>
      <w:r>
        <w:rPr>
          <w:b/>
          <w:bCs/>
        </w:rPr>
        <w:t xml:space="preserve">authorized a new 20M-share repurchase program (late July)</w:t>
      </w:r>
      <w:r>
        <w:t xml:space="preserve"> </w:t>
      </w:r>
      <w:r>
        <w:t xml:space="preserve">and declared a</w:t>
      </w:r>
      <w:r>
        <w:t xml:space="preserve"> </w:t>
      </w:r>
      <m:oMath>
        <m:r>
          <m:t>0.43</m:t>
        </m:r>
        <m:r>
          <m:t>d</m:t>
        </m:r>
        <m:r>
          <m:t>i</m:t>
        </m:r>
        <m:r>
          <m:t>v</m:t>
        </m:r>
        <m:r>
          <m:t>i</m:t>
        </m:r>
        <m:r>
          <m:t>d</m:t>
        </m:r>
        <m:r>
          <m:t>e</m:t>
        </m:r>
        <m:r>
          <m:t>n</m:t>
        </m:r>
        <m:r>
          <m:t>d</m:t>
        </m:r>
        <m:r>
          <m:rPr>
            <m:sty m:val="p"/>
          </m:rPr>
          <m:t>;</m:t>
        </m:r>
        <m:r>
          <m:t>L</m:t>
        </m:r>
        <m:r>
          <m:t>D</m:t>
        </m:r>
        <m:r>
          <m:t>O</m:t>
        </m:r>
        <m:r>
          <m:t>S</m:t>
        </m:r>
        <m:r>
          <m:t>b</m:t>
        </m:r>
        <m:r>
          <m:t>o</m:t>
        </m:r>
        <m:r>
          <m:t>u</m:t>
        </m:r>
        <m:r>
          <m:t>g</m:t>
        </m:r>
        <m:r>
          <m:t>h</m:t>
        </m:r>
        <m:r>
          <m:t>t</m:t>
        </m:r>
        <m:r>
          <m:t>b</m:t>
        </m:r>
        <m:r>
          <m:t>a</m:t>
        </m:r>
        <m:r>
          <m:t>c</m:t>
        </m:r>
        <m:r>
          <m:t>k</m:t>
        </m:r>
        <m:r>
          <m:t> </m:t>
        </m:r>
      </m:oMath>
      <w:r>
        <w:t xml:space="preserve">200M+ of stock in Q1. At a depressed price, buyback pace is a real EPS lever and a signal of management conviction.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Balance sheet:</w:t>
      </w:r>
      <w:r>
        <w:t xml:space="preserve"> </w:t>
      </w:r>
      <w:r>
        <w:t xml:space="preserve">gross leverage ~2.6x after the $2.4B Entrust deal; management has been paying down commercial paper faster than planned.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Growth catalysts to listen for:</w:t>
      </w:r>
      <w:r>
        <w:t xml:space="preserve"> </w:t>
      </w:r>
      <w:r>
        <w:t xml:space="preserve">Defense product scaling (small cruise missile / AGM-190A, MUSV maritime autonomy, ALPS/Golden Dome sensing, AirShield counter-UAS); the CoreWeave AI-cloud federal partnership; Entrust energy-infrastructure integration (targeting a $10B refreshed pipeline).</w:t>
      </w:r>
    </w:p>
    <w:p>
      <w:r>
        <w:pict>
          <v:rect style="width:0;height:1.5pt" o:hralign="center" o:hrstd="t" o:hr="t"/>
        </w:pict>
      </w:r>
    </w:p>
    <w:bookmarkEnd w:id="15"/>
    <w:bookmarkStart w:id="16" w:name="how-id-frame-the-reaction"/>
    <w:p>
      <w:pPr>
        <w:pStyle w:val="Heading2"/>
      </w:pPr>
      <w:r>
        <w:t xml:space="preserve">How I'd frame the reaction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Bull case:</w:t>
      </w:r>
      <w:r>
        <w:t xml:space="preserve"> </w:t>
      </w:r>
      <w:r>
        <w:t xml:space="preserve">Q2 lands in line (the weak comp is known), management reaffirms/tightens FY26, gives constructive DHMSM extension detail and reassures on VBA volumes, and leans on the buyback. At ~10x earnings with a bombed-out sentiment, that combination could spark a relief rally.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Bear case:</w:t>
      </w:r>
      <w:r>
        <w:t xml:space="preserve"> </w:t>
      </w:r>
      <w:r>
        <w:t xml:space="preserve">any incremental negative on DHMSM (confirmed loss of lead-integrator role, transition timeline), a Health margin reset worse than "modest," or a guidance trim — especially given the required 2H acceleration — would validate the derating and pressure the stock further.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Base case:</w:t>
      </w:r>
      <w:r>
        <w:t xml:space="preserve"> </w:t>
      </w:r>
      <w:r>
        <w:t xml:space="preserve">a pre-telegraphed "trough" quarter with a maintained full-year guide; the stock trades on the</w:t>
      </w:r>
      <w:r>
        <w:t xml:space="preserve"> </w:t>
      </w:r>
      <w:r>
        <w:rPr>
          <w:i/>
          <w:iCs/>
        </w:rPr>
        <w:t xml:space="preserve">tone</w:t>
      </w:r>
      <w:r>
        <w:t xml:space="preserve"> </w:t>
      </w:r>
      <w:r>
        <w:t xml:space="preserve">of Health/DHMSM commentary and book-to-bill more than on the printed EPS.</w:t>
      </w:r>
    </w:p>
    <w:p>
      <w:pPr>
        <w:pStyle w:val="FirstParagraph"/>
      </w:pPr>
      <w:r>
        <w:rPr>
          <w:b/>
          <w:bCs/>
        </w:rPr>
        <w:t xml:space="preserve">Bottom line:</w:t>
      </w:r>
      <w:r>
        <w:t xml:space="preserve"> </w:t>
      </w:r>
      <w:r>
        <w:t xml:space="preserve">Numbers are almost secondary here. The market has already priced a Health reset; the swing factor is management's ability to quantify the DHMSM/VBA risk, defend the "mid-13s" margin floor, and make the second-half re-acceleration credible. Given the ~50% peak-to-trough drawdown, the risk/reward is asymmetric to</w:t>
      </w:r>
      <w:r>
        <w:t xml:space="preserve"> </w:t>
      </w:r>
      <w:r>
        <w:rPr>
          <w:i/>
          <w:iCs/>
        </w:rPr>
        <w:t xml:space="preserve">clarity</w:t>
      </w:r>
      <w:r>
        <w:t xml:space="preserve"> </w:t>
      </w:r>
      <w:r>
        <w:t xml:space="preserve">— good or bad.</w:t>
      </w:r>
    </w:p>
    <w:p>
      <w:pPr>
        <w:pStyle w:val="BodyText"/>
      </w:pPr>
      <w:r>
        <w:rPr>
          <w:i/>
          <w:iCs/>
        </w:rPr>
        <w:t xml:space="preserve">Note: LDOS uses a fiscal calendar ending in early January; "Q2 FY2026" is the quarter ending ~early July 2026. All financials above are drawn from company releases and Q1 FY26 call commentary; consensus and analyst-action figures are from public news sources and are approximate.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2026-08-04T00:18:41Z</dcterms:created>
  <dcterms:modified xsi:type="dcterms:W3CDTF">2026-08-04T00:18:41Z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