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dos-earnings-predictions--2026-08-04"/>
    <w:p>
      <w:pPr>
        <w:pStyle w:val="Heading1"/>
      </w:pPr>
      <w:r>
        <w:t xml:space="preserve">LDOS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4.44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2.98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2.90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Health segment operating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~20.5% vs. cons ~22.5%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18.2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18.15B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12.30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12.28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Health segment forward outlook / DHA-MHS GENESIS revenue impact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</w:t>
            </w:r>
            <m:oMath>
              <m:r>
                <m:t>150</m:t>
              </m:r>
              <m:r>
                <m:t>M</m:t>
              </m:r>
              <m:r>
                <m:t>i</m:t>
              </m:r>
              <m:r>
                <m:t>n</m:t>
              </m:r>
              <m:r>
                <m:t>c</m:t>
              </m:r>
              <m:r>
                <m:t>r</m:t>
              </m:r>
              <m:r>
                <m:t>e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a</m:t>
              </m:r>
              <m:r>
                <m:t>l</m:t>
              </m:r>
              <m:r>
                <m:t>H</m:t>
              </m:r>
              <m:r>
                <m:t>e</m:t>
              </m:r>
              <m:r>
                <m:t>a</m:t>
              </m:r>
              <m:r>
                <m:t>l</m:t>
              </m:r>
              <m:r>
                <m:t>t</m:t>
              </m:r>
              <m:r>
                <m:t>h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h</m:t>
              </m:r>
              <m:r>
                <m:t>e</m:t>
              </m:r>
              <m:r>
                <m:t>a</m:t>
              </m:r>
              <m:r>
                <m:t>d</m:t>
              </m:r>
              <m:r>
                <m:t>w</m:t>
              </m:r>
              <m:r>
                <m:t>i</m:t>
              </m:r>
              <m:r>
                <m:t>n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 baked in (FY2026-FY2027)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Book-to-bill ratio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~1.0x for Q2 vs. cons/TTM ~1.1x (Q2 2026 / TTM)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Second-half reacceleration narrative (Q3/Q4 revenue &amp; margin step-up)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reaffirmed H2 acceleration vs. cons already assuming H2 ramp (FY2026 H2)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LDOS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(FADE)</w:t>
            </w:r>
          </w:p>
        </w:tc>
        <w:tc>
          <w:tcPr/>
          <w:p>
            <w:pPr>
              <w:pStyle w:val="Compact"/>
            </w:pPr>
            <w:r>
              <w:t xml:space="preserve">Headline Q2 revenue/EPS likely land in-line-to-slightly-better since management pre-announced softness and consensus already de-risked, so any initial pop from a clean beat/reaffirm is likely modest. But the Health segment — hit directly by the DHA/MHS GENESIS integrator transition (Philips/Amwell exiting end of July, Oracle Health by November) — is where the real out-period math lives: even a reaffirmed FY26 headline (propped up by Entrust) likely comes with incremental, quantified FY26/FY27 Health revenue and margin headwinds that sell-side hadn't fully modeled. As analysts update models over the following days, implicit cuts to FY27 Health margin/EPS get layered in even if Q2 itself 'beats,' producing a fade as the market re-prices the structural margin risk in the higher-margin Health book rather than the transitory Q2 dip that had already been guided.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2026-08-04T00:31:10Z</dcterms:created>
  <dcterms:modified xsi:type="dcterms:W3CDTF">2026-08-04T00:31:10Z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