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ldos-q2-2026-earnings-preview"/>
    <w:p>
      <w:pPr>
        <w:pStyle w:val="Heading1"/>
      </w:pPr>
      <w:r>
        <w:t xml:space="preserve">LDOS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Leidos has scheduled its Q2 earnings call for</w:t>
      </w:r>
      <w:r>
        <w:t xml:space="preserve"> </w:t>
      </w:r>
      <w:r>
        <w:rPr>
          <w:b/>
          <w:bCs/>
        </w:rPr>
        <w:t xml:space="preserve">Tuesday, August 4, 2026, at 8:00 a.m. ET</w:t>
      </w:r>
      <w:r>
        <w:t xml:space="preserve">, with results released before the call. That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tomorrow, based on the stated current date. The quarter ended July 3, 2026.</w:t>
      </w:r>
    </w:p>
    <w:bookmarkStart w:id="9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The central issue is not whether Leidos produces an especially strong Q2. Management already characterized Q2 as the likely</w:t>
      </w:r>
      <w:r>
        <w:t xml:space="preserve"> </w:t>
      </w:r>
      <w:r>
        <w:rPr>
          <w:b/>
          <w:bCs/>
        </w:rPr>
        <w:t xml:space="preserve">low point of 2026 for both revenue growth and margins</w:t>
      </w:r>
      <w:r>
        <w:t xml:space="preserve">. The more important questions are:</w:t>
      </w:r>
    </w:p>
    <w:p>
      <w:pPr>
        <w:pStyle w:val="Compact"/>
        <w:numPr>
          <w:ilvl w:val="0"/>
          <w:numId w:val="1001"/>
        </w:numPr>
      </w:pPr>
      <w:r>
        <w:t xml:space="preserve">Did performance remain controlled through the expected trough?</w:t>
      </w:r>
    </w:p>
    <w:p>
      <w:pPr>
        <w:pStyle w:val="Compact"/>
        <w:numPr>
          <w:ilvl w:val="0"/>
          <w:numId w:val="1001"/>
        </w:numPr>
      </w:pPr>
      <w:r>
        <w:t xml:space="preserve">Are bookings and program ramps sufficient to support the promised second-half acceleration?</w:t>
      </w:r>
    </w:p>
    <w:p>
      <w:pPr>
        <w:pStyle w:val="Compact"/>
        <w:numPr>
          <w:ilvl w:val="0"/>
          <w:numId w:val="1001"/>
        </w:numPr>
      </w:pPr>
      <w:r>
        <w:t xml:space="preserve">Is the Entrust acquisition performing as expected?</w:t>
      </w:r>
    </w:p>
    <w:p>
      <w:pPr>
        <w:pStyle w:val="Compact"/>
        <w:numPr>
          <w:ilvl w:val="0"/>
          <w:numId w:val="1001"/>
        </w:numPr>
      </w:pPr>
      <w:r>
        <w:t xml:space="preserve">Can Leidos reaffirm—or raise—full-year guidance without relying on aggressive Q4 assumptions?</w:t>
      </w:r>
    </w:p>
    <w:p>
      <w:pPr>
        <w:pStyle w:val="FirstParagraph"/>
      </w:pPr>
      <w:r>
        <w:t xml:space="preserve">The stock has already absorbed substantial skepticism. LDOS closed at</w:t>
      </w:r>
      <w:r>
        <w:t xml:space="preserve"> </w:t>
      </w:r>
      <w:r>
        <w:rPr>
          <w:b/>
          <w:bCs/>
        </w:rPr>
        <w:t xml:space="preserve">$118.75 on August 3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20% from May 4</w:t>
      </w:r>
      <w:r>
        <w:t xml:space="preserve">, while SPY rose approximately 6% over the same period. However, LDOS has rebounded about 19% from its June 25 low, so the setup is no longer completely washed out.</w:t>
      </w:r>
    </w:p>
    <w:p>
      <w:pPr>
        <w:pStyle w:val="BodyText"/>
      </w:pPr>
      <w:r>
        <w:t xml:space="preserve">A merely in-line quarter accompanied by credible second-half commentary could be enough for a constructive reaction. Conversely, weak bookings, additional fixed-price charges, or any reduction in guidance would reinforce concerns that the expected acceleration is slipping.</w:t>
      </w:r>
    </w:p>
    <w:p>
      <w:r>
        <w:pict>
          <v:rect style="width:0;height:1.5pt" o:hralign="center" o:hrstd="t" o:hr="t"/>
        </w:pict>
      </w:r>
    </w:p>
    <w:bookmarkEnd w:id="9"/>
    <w:bookmarkStart w:id="10" w:name="X674c1f07c15973d4d298d764b5f8213d686beb6"/>
    <w:p>
      <w:pPr>
        <w:pStyle w:val="Heading2"/>
      </w:pPr>
      <w:r>
        <w:t xml:space="preserve">Starting point: a strong but somewhat noisy Q1</w:t>
      </w:r>
    </w:p>
    <w:p>
      <w:pPr>
        <w:pStyle w:val="FirstParagraph"/>
      </w:pPr>
      <w:r>
        <w:t xml:space="preserve">Leidos entered Q2 following: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$4.40 billion, up 4% year over year and 3% organically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EBITDA:</w:t>
      </w:r>
      <w:r>
        <w:t xml:space="preserve"> </w:t>
      </w:r>
      <w:r>
        <w:t xml:space="preserve">$614 million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EBITDA margin:</w:t>
      </w:r>
      <w:r>
        <w:t xml:space="preserve"> </w:t>
      </w:r>
      <w:r>
        <w:t xml:space="preserve">14.0%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Non-GAAP diluted EPS:</w:t>
      </w:r>
      <w:r>
        <w:t xml:space="preserve"> </w:t>
      </w:r>
      <w:r>
        <w:t xml:space="preserve">$3.13, up 5%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Operating cash flow:</w:t>
      </w:r>
      <w:r>
        <w:t xml:space="preserve"> </w:t>
      </w:r>
      <w:r>
        <w:t xml:space="preserve">$301 million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Bookings:</w:t>
      </w:r>
      <w:r>
        <w:t xml:space="preserve"> </w:t>
      </w:r>
      <w:r>
        <w:t xml:space="preserve">$3.3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Book-to-bill:</w:t>
      </w:r>
      <w:r>
        <w:t xml:space="preserve"> </w:t>
      </w:r>
      <w:r>
        <w:t xml:space="preserve">0.8x for the quarter and 1.1x on a trailing-12-month basis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Backlog:</w:t>
      </w:r>
      <w:r>
        <w:t xml:space="preserve"> </w:t>
      </w:r>
      <w:r>
        <w:t xml:space="preserve">$48.4 billion, up from $46.3 billion one year earlier</w:t>
      </w:r>
    </w:p>
    <w:p>
      <w:pPr>
        <w:pStyle w:val="FirstParagraph"/>
      </w:pPr>
      <w:r>
        <w:t xml:space="preserve">Management raised 2026 guidance after Q1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18.0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18.4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Mid-13% 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12.10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12.50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$1.8 billion</w:t>
            </w:r>
          </w:p>
        </w:tc>
      </w:tr>
    </w:tbl>
    <w:p>
      <w:pPr>
        <w:pStyle w:val="BodyText"/>
      </w:pPr>
      <w:r>
        <w:t xml:space="preserve">Importantly, management said the guidance increases primarily reflected the</w:t>
      </w:r>
      <w:r>
        <w:t xml:space="preserve"> </w:t>
      </w:r>
      <w:r>
        <w:rPr>
          <w:b/>
          <w:bCs/>
        </w:rPr>
        <w:t xml:space="preserve">Entrust acquisition</w:t>
      </w:r>
      <w:r>
        <w:t xml:space="preserve">, while the outlook for the legacy business remained largely unchanged.</w:t>
      </w:r>
    </w:p>
    <w:p>
      <w:pPr>
        <w:pStyle w:val="BodyText"/>
      </w:pPr>
      <w:r>
        <w:t xml:space="preserve">Q1 also contained a</w:t>
      </w:r>
      <w:r>
        <w:t xml:space="preserve"> </w:t>
      </w:r>
      <w:r>
        <w:rPr>
          <w:b/>
          <w:bCs/>
        </w:rPr>
        <w:t xml:space="preserve">$15 million insurance reimbursement</w:t>
      </w:r>
      <w:r>
        <w:t xml:space="preserve"> </w:t>
      </w:r>
      <w:r>
        <w:t xml:space="preserve">that will not repeat in Q2. Meanwhile, contract estimate changes were a $9 million pretax headwind, including unfavorable revisions in Defense and Homeland.</w:t>
      </w:r>
    </w:p>
    <w:p>
      <w:r>
        <w:pict>
          <v:rect style="width:0;height:1.5pt" o:hralign="center" o:hrstd="t" o:hr="t"/>
        </w:pict>
      </w:r>
    </w:p>
    <w:bookmarkEnd w:id="10"/>
    <w:bookmarkStart w:id="12" w:name="what-to-expect-from-q2"/>
    <w:p>
      <w:pPr>
        <w:pStyle w:val="Heading2"/>
      </w:pPr>
      <w:r>
        <w:t xml:space="preserve">What to expect from Q2</w:t>
      </w:r>
    </w:p>
    <w:p>
      <w:pPr>
        <w:pStyle w:val="FirstParagraph"/>
      </w:pPr>
      <w:r>
        <w:t xml:space="preserve">I could not verify a reliable live analyst consensus from the available research database. The following are therefore</w:t>
      </w:r>
      <w:r>
        <w:t xml:space="preserve"> </w:t>
      </w:r>
      <w:r>
        <w:rPr>
          <w:b/>
          <w:bCs/>
        </w:rPr>
        <w:t xml:space="preserve">analytical markers, not published consensus estimates</w:t>
      </w:r>
      <w:r>
        <w:t xml:space="preserve">.</w:t>
      </w:r>
    </w:p>
    <w:bookmarkStart w:id="11" w:name="reasonable-operating-markers"/>
    <w:p>
      <w:pPr>
        <w:pStyle w:val="Heading3"/>
      </w:pPr>
      <w:r>
        <w:t xml:space="preserve">Reasonable operating markers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Analytical marker</w:t>
            </w:r>
          </w:p>
        </w:tc>
        <w:tc>
          <w:tcPr/>
          <w:p>
            <w:pPr>
              <w:pStyle w:val="Compact"/>
            </w:pPr>
            <w:r>
              <w:t xml:space="preserve">What matters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4.3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4.4 billion</w:t>
            </w:r>
          </w:p>
        </w:tc>
        <w:tc>
          <w:tcPr/>
          <w:p>
            <w:pPr>
              <w:pStyle w:val="Compact"/>
            </w:pPr>
            <w:r>
              <w:t xml:space="preserve">Management said Q2 could be similar to Q1 or modestly lower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Low-to-mid 13% range</w:t>
            </w:r>
          </w:p>
        </w:tc>
        <w:tc>
          <w:tcPr/>
          <w:p>
            <w:pPr>
              <w:pStyle w:val="Compact"/>
            </w:pPr>
            <w:r>
              <w:t xml:space="preserve">Q2 was explicitly framed as the annual margin trough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</w:t>
            </w:r>
            <w:r>
              <w:rPr>
                <w:b/>
                <w:bCs/>
              </w:rPr>
              <w:t xml:space="preserve"> </w:t>
            </w:r>
            <m:oMath>
              <m:r>
                <m:t>2.85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3.00</w:t>
            </w:r>
          </w:p>
        </w:tc>
        <w:tc>
          <w:tcPr/>
          <w:p>
            <w:pPr>
              <w:pStyle w:val="Compact"/>
            </w:pPr>
            <w:r>
              <w:t xml:space="preserve">Lower margin and no insurance benefit, partly offset by Entrust and buybacks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Book-to-bill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Around or above 1.0x</w:t>
            </w:r>
          </w:p>
        </w:tc>
        <w:tc>
          <w:tcPr/>
          <w:p>
            <w:pPr>
              <w:pStyle w:val="Compact"/>
            </w:pPr>
            <w:r>
              <w:t xml:space="preserve">More important than a modest EPS beat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Reaffirmation expected</w:t>
            </w:r>
          </w:p>
        </w:tc>
        <w:tc>
          <w:tcPr/>
          <w:p>
            <w:pPr>
              <w:pStyle w:val="Compact"/>
            </w:pPr>
            <w:r>
              <w:t xml:space="preserve">Quality of the second-half bridge will determine credibility</w:t>
            </w:r>
          </w:p>
        </w:tc>
      </w:tr>
    </w:tbl>
    <w:p>
      <w:pPr>
        <w:pStyle w:val="BodyText"/>
      </w:pPr>
      <w:r>
        <w:t xml:space="preserve">Investors should not overreact to a modest sequential decline. Management directly warned that some Q1 revenue was pulled forward from Q2 and that near-term investments would increase.</w:t>
      </w:r>
    </w:p>
    <w:p>
      <w:pPr>
        <w:pStyle w:val="BodyText"/>
      </w:pPr>
      <w:r>
        <w:t xml:space="preserve">A larger-than-expected decline—particularly revenue below roughly $4.25 billion or a material margin shortfall—would be more concerning because it would increase the burden on the second half.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4" w:name="Xa1475ecceae4614d9921b489fa3e6190d62dd2b"/>
    <w:p>
      <w:pPr>
        <w:pStyle w:val="Heading2"/>
      </w:pPr>
      <w:r>
        <w:t xml:space="preserve">The second-half acceleration is the key debate</w:t>
      </w:r>
    </w:p>
    <w:p>
      <w:pPr>
        <w:pStyle w:val="FirstParagraph"/>
      </w:pPr>
      <w:r>
        <w:t xml:space="preserve">Assuming Q2 revenue of approximately $4.35 billion, Leidos would need to generate average quarterly revenue of roughly: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$4.63 billion</w:t>
      </w:r>
      <w:r>
        <w:t xml:space="preserve"> </w:t>
      </w:r>
      <w:r>
        <w:t xml:space="preserve">in Q3 and Q4 to reach the low end of guidance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$4.83 billion</w:t>
      </w:r>
      <w:r>
        <w:t xml:space="preserve"> </w:t>
      </w:r>
      <w:r>
        <w:t xml:space="preserve">to reach the high end</w:t>
      </w:r>
    </w:p>
    <w:p>
      <w:pPr>
        <w:pStyle w:val="FirstParagraph"/>
      </w:pPr>
      <w:r>
        <w:t xml:space="preserve">That implies a meaningful step-up from the first-half run rate.</w:t>
      </w:r>
    </w:p>
    <w:p>
      <w:pPr>
        <w:pStyle w:val="BodyText"/>
      </w:pPr>
      <w:r>
        <w:t xml:space="preserve">A similar issue applies to EPS. If Q2 non-GAAP EPS is around</w:t>
      </w:r>
      <w:r>
        <w:t xml:space="preserve"> </w:t>
      </w:r>
      <m:oMath>
        <m:r>
          <m:t>2.90</m:t>
        </m:r>
        <m:r>
          <m:rPr>
            <m:sty m:val="p"/>
          </m:rPr>
          <m:t>,</m:t>
        </m:r>
        <m:r>
          <m:t>L</m:t>
        </m:r>
        <m:r>
          <m:t>e</m:t>
        </m:r>
        <m:r>
          <m:t>i</m:t>
        </m:r>
        <m:r>
          <m:t>d</m:t>
        </m:r>
        <m:r>
          <m:t>o</m:t>
        </m:r>
        <m:r>
          <m:t>s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n</m:t>
        </m:r>
        <m:r>
          <m:t>e</m:t>
        </m:r>
        <m:r>
          <m:t>e</m:t>
        </m:r>
        <m:r>
          <m:t>d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s</m:t>
        </m:r>
        <m:r>
          <m:t>e</m:t>
        </m:r>
        <m:r>
          <m:t>c</m:t>
        </m:r>
        <m:r>
          <m:t>o</m:t>
        </m:r>
        <m:r>
          <m:t>n</m:t>
        </m:r>
        <m:r>
          <m:t>d</m:t>
        </m:r>
        <m:r>
          <m:rPr>
            <m:sty m:val="p"/>
          </m:rPr>
          <m:t>−</m:t>
        </m:r>
        <m:r>
          <m:t>h</m:t>
        </m:r>
        <m:r>
          <m:t>a</m:t>
        </m:r>
        <m:r>
          <m:t>l</m:t>
        </m:r>
        <m:r>
          <m:t>f</m:t>
        </m:r>
        <m:r>
          <m:t>E</m:t>
        </m:r>
        <m:r>
          <m:t>P</m:t>
        </m:r>
        <m:r>
          <m:t>S</m:t>
        </m:r>
        <m:r>
          <m:t>o</m:t>
        </m:r>
        <m:r>
          <m:t>f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3.04–$3.24 per quarter** to achieve its annual range.</w:t>
      </w:r>
    </w:p>
    <w:p>
      <w:pPr>
        <w:pStyle w:val="BodyText"/>
      </w:pPr>
      <w:r>
        <w:t xml:space="preserve">That is feasible if awards convert on schedule, Defense programs ramp and Entrust contributes a full quarter. But management needs to provide evidence rather than simply repeat that growth is coming.</w:t>
      </w:r>
    </w:p>
    <w:bookmarkStart w:id="13" w:name="X28f3c6e00ae5542accc8450a3d826e31500f8d1"/>
    <w:p>
      <w:pPr>
        <w:pStyle w:val="Heading3"/>
      </w:pPr>
      <w:r>
        <w:t xml:space="preserve">Questions that should determine confidence</w:t>
      </w:r>
    </w:p>
    <w:p>
      <w:pPr>
        <w:pStyle w:val="Compact"/>
        <w:numPr>
          <w:ilvl w:val="0"/>
          <w:numId w:val="1004"/>
        </w:numPr>
      </w:pPr>
      <w:r>
        <w:t xml:space="preserve">Have procurement conditions normalized following the government shutdown?</w:t>
      </w:r>
    </w:p>
    <w:p>
      <w:pPr>
        <w:pStyle w:val="Compact"/>
        <w:numPr>
          <w:ilvl w:val="0"/>
          <w:numId w:val="1004"/>
        </w:numPr>
      </w:pPr>
      <w:r>
        <w:t xml:space="preserve">Did the expected pickup in award activity begin during Q2?</w:t>
      </w:r>
    </w:p>
    <w:p>
      <w:pPr>
        <w:pStyle w:val="Compact"/>
        <w:numPr>
          <w:ilvl w:val="0"/>
          <w:numId w:val="1004"/>
        </w:numPr>
      </w:pPr>
      <w:r>
        <w:t xml:space="preserve">Which new programs will contribute meaningful revenue in Q3 versus Q4?</w:t>
      </w:r>
    </w:p>
    <w:p>
      <w:pPr>
        <w:pStyle w:val="Compact"/>
        <w:numPr>
          <w:ilvl w:val="0"/>
          <w:numId w:val="1004"/>
        </w:numPr>
      </w:pPr>
      <w:r>
        <w:t xml:space="preserve">Is the acceleration based on funded work and backlog conversion, or on awards that remain pending?</w:t>
      </w:r>
    </w:p>
    <w:p>
      <w:pPr>
        <w:pStyle w:val="Compact"/>
        <w:numPr>
          <w:ilvl w:val="0"/>
          <w:numId w:val="1004"/>
        </w:numPr>
      </w:pPr>
      <w:r>
        <w:t xml:space="preserve">How much of the second-half growth comes from Entrust versus organic Leidos operations?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9" w:name="segment-checklist"/>
    <w:p>
      <w:pPr>
        <w:pStyle w:val="Heading2"/>
      </w:pPr>
      <w:r>
        <w:t xml:space="preserve">Segment checklist</w:t>
      </w:r>
    </w:p>
    <w:bookmarkStart w:id="15" w:name="Xbb9f7028a4677cf90da3a3eacb8e70586115238"/>
    <w:p>
      <w:pPr>
        <w:pStyle w:val="Heading3"/>
      </w:pPr>
      <w:r>
        <w:t xml:space="preserve">1. Intelligence &amp; Digital: can it remain the organic growth engine?</w:t>
      </w:r>
    </w:p>
    <w:p>
      <w:pPr>
        <w:pStyle w:val="FirstParagraph"/>
      </w:pPr>
      <w:r>
        <w:t xml:space="preserve">Q1 revenue increased 7%, or 6% organically, with operating margin improving to 10.2% on a non-GAAP basis. Demand was supported by intelligence-community mission work, digital infrastructure and cyber capabilities.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5"/>
        </w:numPr>
      </w:pPr>
      <w:r>
        <w:t xml:space="preserve">Continued mid-single-digit or better organic growth</w:t>
      </w:r>
    </w:p>
    <w:p>
      <w:pPr>
        <w:pStyle w:val="Compact"/>
        <w:numPr>
          <w:ilvl w:val="0"/>
          <w:numId w:val="1005"/>
        </w:numPr>
      </w:pPr>
      <w:r>
        <w:t xml:space="preserve">Stable or improving margins near 10%</w:t>
      </w:r>
    </w:p>
    <w:p>
      <w:pPr>
        <w:pStyle w:val="Compact"/>
        <w:numPr>
          <w:ilvl w:val="0"/>
          <w:numId w:val="1005"/>
        </w:numPr>
      </w:pPr>
      <w:r>
        <w:t xml:space="preserve">Evidence that AI adoption is expanding Leidos’ role rather than commoditizing IT services</w:t>
      </w:r>
    </w:p>
    <w:p>
      <w:pPr>
        <w:pStyle w:val="Compact"/>
        <w:numPr>
          <w:ilvl w:val="0"/>
          <w:numId w:val="1005"/>
        </w:numPr>
      </w:pPr>
      <w:r>
        <w:t xml:space="preserve">Conversion of the company’s reported</w:t>
      </w:r>
      <w:r>
        <w:t xml:space="preserve"> </w:t>
      </w:r>
      <w:r>
        <w:rPr>
          <w:b/>
          <w:bCs/>
        </w:rPr>
        <w:t xml:space="preserve">$24 billion cyber pipeline</w:t>
      </w:r>
    </w:p>
    <w:p>
      <w:pPr>
        <w:pStyle w:val="Compact"/>
        <w:numPr>
          <w:ilvl w:val="0"/>
          <w:numId w:val="1005"/>
        </w:numPr>
      </w:pPr>
      <w:r>
        <w:t xml:space="preserve">Commentary on intelligence budgets and classified digital-infrastructure spending</w:t>
      </w:r>
    </w:p>
    <w:p>
      <w:pPr>
        <w:pStyle w:val="FirstParagraph"/>
      </w:pPr>
      <w:r>
        <w:t xml:space="preserve">This segment is important to counter the market view that government IT services will lose budget priority relative to hardware and weapons.</w:t>
      </w:r>
    </w:p>
    <w:bookmarkEnd w:id="15"/>
    <w:bookmarkStart w:id="16" w:name="Xfe70b2c96f2c9ae4bb76e57686e56f88cd6bc09"/>
    <w:p>
      <w:pPr>
        <w:pStyle w:val="Heading3"/>
      </w:pPr>
      <w:r>
        <w:t xml:space="preserve">2. Health: volumes and contract visibility matter more than near-term growth</w:t>
      </w:r>
    </w:p>
    <w:p>
      <w:pPr>
        <w:pStyle w:val="FirstParagraph"/>
      </w:pPr>
      <w:r>
        <w:t xml:space="preserve">Q1 Health revenue was flat at $1.19 billion, while non-GAAP operating margin remained exceptionally strong at approximately 24%.</w:t>
      </w:r>
    </w:p>
    <w:p>
      <w:pPr>
        <w:pStyle w:val="BodyText"/>
      </w:pPr>
      <w:r>
        <w:t xml:space="preserve">The main uncertainty is Veterans Benefits Administration exam volume following the addition of another provider. Management previously expected a modest 2026 reset but reported that Q1 volumes remained elevated.</w:t>
      </w:r>
    </w:p>
    <w:p>
      <w:pPr>
        <w:pStyle w:val="BodyText"/>
      </w:pPr>
      <w:r>
        <w:t xml:space="preserve">Watch for:</w:t>
      </w:r>
    </w:p>
    <w:p>
      <w:pPr>
        <w:pStyle w:val="Compact"/>
        <w:numPr>
          <w:ilvl w:val="0"/>
          <w:numId w:val="1006"/>
        </w:numPr>
      </w:pPr>
      <w:r>
        <w:t xml:space="preserve">Whether disability-exam volumes stayed high in Q2</w:t>
      </w:r>
    </w:p>
    <w:p>
      <w:pPr>
        <w:pStyle w:val="Compact"/>
        <w:numPr>
          <w:ilvl w:val="0"/>
          <w:numId w:val="1006"/>
        </w:numPr>
      </w:pPr>
      <w:r>
        <w:t xml:space="preserve">Outcomes from the VA industry discussions held after Q1</w:t>
      </w:r>
    </w:p>
    <w:p>
      <w:pPr>
        <w:pStyle w:val="Compact"/>
        <w:numPr>
          <w:ilvl w:val="0"/>
          <w:numId w:val="1006"/>
        </w:numPr>
      </w:pPr>
      <w:r>
        <w:t xml:space="preserve">Visibility into the future VBA contracting structure</w:t>
      </w:r>
    </w:p>
    <w:p>
      <w:pPr>
        <w:pStyle w:val="Compact"/>
        <w:numPr>
          <w:ilvl w:val="0"/>
          <w:numId w:val="1006"/>
        </w:numPr>
      </w:pPr>
      <w:r>
        <w:t xml:space="preserve">Progress on Military OneSource and the My Service Treatment Record pilot</w:t>
      </w:r>
    </w:p>
    <w:p>
      <w:pPr>
        <w:pStyle w:val="Compact"/>
        <w:numPr>
          <w:ilvl w:val="0"/>
          <w:numId w:val="1006"/>
        </w:numPr>
      </w:pPr>
      <w:r>
        <w:t xml:space="preserve">Confirmation that Health margins can remain above 20%</w:t>
      </w:r>
    </w:p>
    <w:p>
      <w:pPr>
        <w:pStyle w:val="FirstParagraph"/>
      </w:pPr>
      <w:r>
        <w:t xml:space="preserve">Flat revenue with stable margins would likely be acceptable. A sharper volume decline or less confidence around VBA would be a negative because Health generates a disproportionate share of segment profit.</w:t>
      </w:r>
    </w:p>
    <w:bookmarkEnd w:id="16"/>
    <w:bookmarkStart w:id="17" w:name="Xbb94849fb7648d8bf7a1578b3fd1451a64b4136"/>
    <w:p>
      <w:pPr>
        <w:pStyle w:val="Heading3"/>
      </w:pPr>
      <w:r>
        <w:t xml:space="preserve">3. Homeland: Entrust’s first full quarter</w:t>
      </w:r>
    </w:p>
    <w:p>
      <w:pPr>
        <w:pStyle w:val="FirstParagraph"/>
      </w:pPr>
      <w:r>
        <w:t xml:space="preserve">Entrust closed on March 27, meaning Q2 is the first quarter with a full contribution. The acquisition expands Leidos’ utility-engineering, grid-modernization and energy-infrastructure operations.</w:t>
      </w:r>
    </w:p>
    <w:p>
      <w:pPr>
        <w:pStyle w:val="BodyText"/>
      </w:pPr>
      <w:r>
        <w:t xml:space="preserve">Q1 included only $11 million of reported Entrust revenue due to the late-March closing. Pro forma disclosure suggested approximately $128 million of incremental quarterly revenue had Entrust been owned for all of Q1, providing a rough indication of its scale.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7"/>
        </w:numPr>
      </w:pPr>
      <w:r>
        <w:t xml:space="preserve">Entrust’s organic growth and customer retention</w:t>
      </w:r>
    </w:p>
    <w:p>
      <w:pPr>
        <w:pStyle w:val="Compact"/>
        <w:numPr>
          <w:ilvl w:val="0"/>
          <w:numId w:val="1007"/>
        </w:numPr>
      </w:pPr>
      <w:r>
        <w:t xml:space="preserve">Integration costs versus underlying operating margins</w:t>
      </w:r>
    </w:p>
    <w:p>
      <w:pPr>
        <w:pStyle w:val="Compact"/>
        <w:numPr>
          <w:ilvl w:val="0"/>
          <w:numId w:val="1007"/>
        </w:numPr>
      </w:pPr>
      <w:r>
        <w:t xml:space="preserve">Progress against the expanded</w:t>
      </w:r>
      <w:r>
        <w:t xml:space="preserve"> </w:t>
      </w:r>
      <w:r>
        <w:rPr>
          <w:b/>
          <w:bCs/>
        </w:rPr>
        <w:t xml:space="preserve">$10 billion opportunity pipeline</w:t>
      </w:r>
    </w:p>
    <w:p>
      <w:pPr>
        <w:pStyle w:val="Compact"/>
        <w:numPr>
          <w:ilvl w:val="0"/>
          <w:numId w:val="1007"/>
        </w:numPr>
      </w:pPr>
      <w:r>
        <w:t xml:space="preserve">Cross-selling into generation, storage and grid-modernization projects</w:t>
      </w:r>
    </w:p>
    <w:p>
      <w:pPr>
        <w:pStyle w:val="Compact"/>
        <w:numPr>
          <w:ilvl w:val="0"/>
          <w:numId w:val="1007"/>
        </w:numPr>
      </w:pPr>
      <w:r>
        <w:t xml:space="preserve">Timing and size of anticipated cost and revenue synergies</w:t>
      </w:r>
    </w:p>
    <w:p>
      <w:pPr>
        <w:pStyle w:val="FirstParagraph"/>
      </w:pPr>
      <w:r>
        <w:t xml:space="preserve">Homeland’s reported Q1 GAAP operating margin fell to 4%, partly because of $25 million in additional acquisition, integration and restructuring costs and fixed-price program issues. A cleaner view of underlying profitability would help.</w:t>
      </w:r>
    </w:p>
    <w:bookmarkEnd w:id="17"/>
    <w:bookmarkStart w:id="18" w:name="Xff20645165aab909f36a0a61838e3da40ea9eee"/>
    <w:p>
      <w:pPr>
        <w:pStyle w:val="Heading3"/>
      </w:pPr>
      <w:r>
        <w:t xml:space="preserve">4. Defense: margins and production conversion</w:t>
      </w:r>
    </w:p>
    <w:p>
      <w:pPr>
        <w:pStyle w:val="FirstParagraph"/>
      </w:pPr>
      <w:r>
        <w:t xml:space="preserve">Defense revenue was nearly flat in Q1, while non-GAAP margin fell to 8.3%. Management attributed the pressure partly to a scheduled delay on a fixed-price development program and expected profitability to improve as higher-quality production work ramps.</w:t>
      </w:r>
    </w:p>
    <w:p>
      <w:pPr>
        <w:pStyle w:val="BodyText"/>
      </w:pPr>
      <w:r>
        <w:t xml:space="preserve">Key programs and opportunities include:</w:t>
      </w:r>
    </w:p>
    <w:p>
      <w:pPr>
        <w:pStyle w:val="Compact"/>
        <w:numPr>
          <w:ilvl w:val="0"/>
          <w:numId w:val="1008"/>
        </w:numPr>
      </w:pPr>
      <w:r>
        <w:t xml:space="preserve">Integrated air and missile defense</w:t>
      </w:r>
    </w:p>
    <w:p>
      <w:pPr>
        <w:pStyle w:val="Compact"/>
        <w:numPr>
          <w:ilvl w:val="0"/>
          <w:numId w:val="1008"/>
        </w:numPr>
      </w:pPr>
      <w:r>
        <w:t xml:space="preserve">ALPS passive sensing systems</w:t>
      </w:r>
    </w:p>
    <w:p>
      <w:pPr>
        <w:pStyle w:val="Compact"/>
        <w:numPr>
          <w:ilvl w:val="0"/>
          <w:numId w:val="1008"/>
        </w:numPr>
      </w:pPr>
      <w:r>
        <w:t xml:space="preserve">AGM-190A small cruise missile</w:t>
      </w:r>
    </w:p>
    <w:p>
      <w:pPr>
        <w:pStyle w:val="Compact"/>
        <w:numPr>
          <w:ilvl w:val="0"/>
          <w:numId w:val="1008"/>
        </w:numPr>
      </w:pPr>
      <w:r>
        <w:t xml:space="preserve">Medium unmanned surface vehicles</w:t>
      </w:r>
    </w:p>
    <w:p>
      <w:pPr>
        <w:pStyle w:val="Compact"/>
        <w:numPr>
          <w:ilvl w:val="0"/>
          <w:numId w:val="1008"/>
        </w:numPr>
      </w:pPr>
      <w:r>
        <w:t xml:space="preserve">AirShield counter-UAS technology</w:t>
      </w:r>
    </w:p>
    <w:p>
      <w:pPr>
        <w:pStyle w:val="Compact"/>
        <w:numPr>
          <w:ilvl w:val="0"/>
          <w:numId w:val="1008"/>
        </w:numPr>
      </w:pPr>
      <w:r>
        <w:t xml:space="preserve">IFPC and related production programs</w:t>
      </w:r>
    </w:p>
    <w:p>
      <w:pPr>
        <w:pStyle w:val="FirstParagraph"/>
      </w:pPr>
      <w:r>
        <w:t xml:space="preserve">The company has discussed more than $9 billion of Defense awards over the previous 15 months and another $8 billion of pipeline opportunities.</w:t>
      </w:r>
    </w:p>
    <w:p>
      <w:pPr>
        <w:pStyle w:val="BodyText"/>
      </w:pPr>
      <w:r>
        <w:t xml:space="preserve">The critical distinction is between an attractive long-term pipeline and actual near-term production revenue. Investors should seek:</w:t>
      </w:r>
    </w:p>
    <w:p>
      <w:pPr>
        <w:pStyle w:val="Compact"/>
        <w:numPr>
          <w:ilvl w:val="0"/>
          <w:numId w:val="1009"/>
        </w:numPr>
      </w:pPr>
      <w:r>
        <w:t xml:space="preserve">Improved Defense margin versus Q1</w:t>
      </w:r>
    </w:p>
    <w:p>
      <w:pPr>
        <w:pStyle w:val="Compact"/>
        <w:numPr>
          <w:ilvl w:val="0"/>
          <w:numId w:val="1009"/>
        </w:numPr>
      </w:pPr>
      <w:r>
        <w:t xml:space="preserve">No new fixed-price development charges</w:t>
      </w:r>
    </w:p>
    <w:p>
      <w:pPr>
        <w:pStyle w:val="Compact"/>
        <w:numPr>
          <w:ilvl w:val="0"/>
          <w:numId w:val="1009"/>
        </w:numPr>
      </w:pPr>
      <w:r>
        <w:t xml:space="preserve">Concrete production quantities and timing</w:t>
      </w:r>
    </w:p>
    <w:p>
      <w:pPr>
        <w:pStyle w:val="Compact"/>
        <w:numPr>
          <w:ilvl w:val="0"/>
          <w:numId w:val="1009"/>
        </w:numPr>
      </w:pPr>
      <w:r>
        <w:t xml:space="preserve">Evidence that prototype programs are transitioning into serial production</w:t>
      </w:r>
    </w:p>
    <w:p>
      <w:pPr>
        <w:pStyle w:val="Compact"/>
        <w:numPr>
          <w:ilvl w:val="0"/>
          <w:numId w:val="1009"/>
        </w:numPr>
      </w:pPr>
      <w:r>
        <w:t xml:space="preserve">Awards that can contribute during 2026 rather than only in later years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Xefe4adc2dacf9ccadace74bba3771cf149bb1f3"/>
    <w:p>
      <w:pPr>
        <w:pStyle w:val="Heading2"/>
      </w:pPr>
      <w:r>
        <w:t xml:space="preserve">Bookings may matter more than the earnings beat</w:t>
      </w:r>
    </w:p>
    <w:p>
      <w:pPr>
        <w:pStyle w:val="FirstParagraph"/>
      </w:pPr>
      <w:r>
        <w:t xml:space="preserve">Q1 book-to-bill was only 0.8x, although trailing-12-month book-to-bill remained healthy at 1.1x. Management expected awards to increase significantly over the remainder of the year.</w:t>
      </w:r>
    </w:p>
    <w:p>
      <w:pPr>
        <w:pStyle w:val="BodyText"/>
      </w:pPr>
      <w:r>
        <w:t xml:space="preserve">A Q2 book-to-bill above 1.0x, particularly with strong funded bookings, would materially improve confidence in the second-half outlook. Another sub-1.0x quarter would make the promised acceleration harder to underwrite, even if EPS exceeds expectations through cost control.</w:t>
      </w:r>
    </w:p>
    <w:p>
      <w:pPr>
        <w:pStyle w:val="BodyText"/>
      </w:pPr>
      <w:r>
        <w:t xml:space="preserve">Investors should also distinguish among:</w:t>
      </w:r>
    </w:p>
    <w:p>
      <w:pPr>
        <w:pStyle w:val="Compact"/>
        <w:numPr>
          <w:ilvl w:val="0"/>
          <w:numId w:val="1010"/>
        </w:numPr>
      </w:pPr>
      <w:r>
        <w:t xml:space="preserve">Firm contract awards</w:t>
      </w:r>
    </w:p>
    <w:p>
      <w:pPr>
        <w:pStyle w:val="Compact"/>
        <w:numPr>
          <w:ilvl w:val="0"/>
          <w:numId w:val="1010"/>
        </w:numPr>
      </w:pPr>
      <w:r>
        <w:t xml:space="preserve">IDIQ ceilings</w:t>
      </w:r>
    </w:p>
    <w:p>
      <w:pPr>
        <w:pStyle w:val="Compact"/>
        <w:numPr>
          <w:ilvl w:val="0"/>
          <w:numId w:val="1010"/>
        </w:numPr>
      </w:pPr>
      <w:r>
        <w:t xml:space="preserve">Funded backlog</w:t>
      </w:r>
    </w:p>
    <w:p>
      <w:pPr>
        <w:pStyle w:val="Compact"/>
        <w:numPr>
          <w:ilvl w:val="0"/>
          <w:numId w:val="1010"/>
        </w:numPr>
      </w:pPr>
      <w:r>
        <w:t xml:space="preserve">Pipeline opportunities</w:t>
      </w:r>
    </w:p>
    <w:p>
      <w:pPr>
        <w:pStyle w:val="Compact"/>
        <w:numPr>
          <w:ilvl w:val="0"/>
          <w:numId w:val="1010"/>
        </w:numPr>
      </w:pPr>
      <w:r>
        <w:t xml:space="preserve">Framework agreements that still require production orders</w:t>
      </w:r>
    </w:p>
    <w:p>
      <w:pPr>
        <w:pStyle w:val="FirstParagraph"/>
      </w:pPr>
      <w:r>
        <w:t xml:space="preserve">These categories have very different revenue implications.</w:t>
      </w:r>
    </w:p>
    <w:p>
      <w:r>
        <w:pict>
          <v:rect style="width:0;height:1.5pt" o:hralign="center" o:hrstd="t" o:hr="t"/>
        </w:pict>
      </w:r>
    </w:p>
    <w:bookmarkEnd w:id="20"/>
    <w:bookmarkStart w:id="21" w:name="X62e61b69b4604d3be5941ced79b87c880bfddba"/>
    <w:p>
      <w:pPr>
        <w:pStyle w:val="Heading2"/>
      </w:pPr>
      <w:r>
        <w:t xml:space="preserve">Cash flow, leverage and capital allocation</w:t>
      </w:r>
    </w:p>
    <w:p>
      <w:pPr>
        <w:pStyle w:val="FirstParagraph"/>
      </w:pPr>
      <w:r>
        <w:t xml:space="preserve">The Entrust acquisition increased debt to approximately</w:t>
      </w:r>
      <w:r>
        <w:t xml:space="preserve"> </w:t>
      </w:r>
      <w:r>
        <w:rPr>
          <w:b/>
          <w:bCs/>
        </w:rPr>
        <w:t xml:space="preserve">$6.3 billion</w:t>
      </w:r>
      <w:r>
        <w:t xml:space="preserve"> </w:t>
      </w:r>
      <w:r>
        <w:t xml:space="preserve">and gross leverage to</w:t>
      </w:r>
      <w:r>
        <w:t xml:space="preserve"> </w:t>
      </w:r>
      <w:r>
        <w:rPr>
          <w:b/>
          <w:bCs/>
        </w:rPr>
        <w:t xml:space="preserve">2.6x</w:t>
      </w:r>
      <w:r>
        <w:t xml:space="preserve"> </w:t>
      </w:r>
      <w:r>
        <w:t xml:space="preserve">at the end of Q1. Leidos also had $300 million of commercial paper outstanding, which management intended to repay during 2026.</w:t>
      </w:r>
    </w:p>
    <w:p>
      <w:pPr>
        <w:pStyle w:val="BodyText"/>
      </w:pPr>
      <w:r>
        <w:t xml:space="preserve">Despite the acquisition, Leidos repurchased $200 million of stock in Q1 and raised operating-cash-flow guidance to approximately $1.8 billion.</w:t>
      </w:r>
    </w:p>
    <w:p>
      <w:pPr>
        <w:pStyle w:val="BodyText"/>
      </w:pPr>
      <w:r>
        <w:t xml:space="preserve">Points to watch:</w:t>
      </w:r>
    </w:p>
    <w:p>
      <w:pPr>
        <w:pStyle w:val="Compact"/>
        <w:numPr>
          <w:ilvl w:val="0"/>
          <w:numId w:val="1011"/>
        </w:numPr>
      </w:pPr>
      <w:r>
        <w:t xml:space="preserve">Progress repaying commercial paper</w:t>
      </w:r>
    </w:p>
    <w:p>
      <w:pPr>
        <w:pStyle w:val="Compact"/>
        <w:numPr>
          <w:ilvl w:val="0"/>
          <w:numId w:val="1011"/>
        </w:numPr>
      </w:pPr>
      <w:r>
        <w:t xml:space="preserve">Updated leverage and deleveraging targets</w:t>
      </w:r>
    </w:p>
    <w:p>
      <w:pPr>
        <w:pStyle w:val="Compact"/>
        <w:numPr>
          <w:ilvl w:val="0"/>
          <w:numId w:val="1011"/>
        </w:numPr>
      </w:pPr>
      <w:r>
        <w:t xml:space="preserve">Working-capital performance after a very strong Q1</w:t>
      </w:r>
    </w:p>
    <w:p>
      <w:pPr>
        <w:pStyle w:val="Compact"/>
        <w:numPr>
          <w:ilvl w:val="0"/>
          <w:numId w:val="1011"/>
        </w:numPr>
      </w:pPr>
      <w:r>
        <w:t xml:space="preserve">Capex timing relative to the planned annual budget of as much as $350 million</w:t>
      </w:r>
    </w:p>
    <w:p>
      <w:pPr>
        <w:pStyle w:val="Compact"/>
        <w:numPr>
          <w:ilvl w:val="0"/>
          <w:numId w:val="1011"/>
        </w:numPr>
      </w:pPr>
      <w:r>
        <w:t xml:space="preserve">Whether buybacks continue while leverage remains elevated</w:t>
      </w:r>
    </w:p>
    <w:p>
      <w:pPr>
        <w:pStyle w:val="FirstParagraph"/>
      </w:pPr>
      <w:r>
        <w:t xml:space="preserve">Capex was only $31 million in Q1, so a substantial increase is likely if the company proceeds with production investments. Underspending could support near-term free cash flow but may also indicate that anticipated Defense ramps have been delayed.</w:t>
      </w:r>
    </w:p>
    <w:p>
      <w:r>
        <w:pict>
          <v:rect style="width:0;height:1.5pt" o:hralign="center" o:hrstd="t" o:hr="t"/>
        </w:pict>
      </w:r>
    </w:p>
    <w:bookmarkEnd w:id="21"/>
    <w:bookmarkStart w:id="24" w:name="other-potential-catalysts"/>
    <w:p>
      <w:pPr>
        <w:pStyle w:val="Heading2"/>
      </w:pPr>
      <w:r>
        <w:t xml:space="preserve">Other potential catalysts</w:t>
      </w:r>
    </w:p>
    <w:bookmarkStart w:id="22" w:name="security-products-joint-venture"/>
    <w:p>
      <w:pPr>
        <w:pStyle w:val="Heading3"/>
      </w:pPr>
      <w:r>
        <w:t xml:space="preserve">Security-products joint venture</w:t>
      </w:r>
    </w:p>
    <w:p>
      <w:pPr>
        <w:pStyle w:val="FirstParagraph"/>
      </w:pPr>
      <w:r>
        <w:t xml:space="preserve">Leidos plans to combine its Security Enterprise Solutions business with Analogic, retaining a 41.5% minority interest. The transaction was expected to close in the second half of 2026 and was not included in existing guidance.</w:t>
      </w:r>
    </w:p>
    <w:p>
      <w:pPr>
        <w:pStyle w:val="BodyText"/>
      </w:pPr>
      <w:r>
        <w:t xml:space="preserve">Investors need an update on:</w:t>
      </w:r>
    </w:p>
    <w:p>
      <w:pPr>
        <w:pStyle w:val="Compact"/>
        <w:numPr>
          <w:ilvl w:val="0"/>
          <w:numId w:val="1012"/>
        </w:numPr>
      </w:pPr>
      <w:r>
        <w:t xml:space="preserve">Expected closing date</w:t>
      </w:r>
    </w:p>
    <w:p>
      <w:pPr>
        <w:pStyle w:val="Compact"/>
        <w:numPr>
          <w:ilvl w:val="0"/>
          <w:numId w:val="1012"/>
        </w:numPr>
      </w:pPr>
      <w:r>
        <w:t xml:space="preserve">Revenue and margin removed from consolidated results after closing</w:t>
      </w:r>
    </w:p>
    <w:p>
      <w:pPr>
        <w:pStyle w:val="Compact"/>
        <w:numPr>
          <w:ilvl w:val="0"/>
          <w:numId w:val="1012"/>
        </w:numPr>
      </w:pPr>
      <w:r>
        <w:t xml:space="preserve">Equity-method income contribution</w:t>
      </w:r>
    </w:p>
    <w:p>
      <w:pPr>
        <w:pStyle w:val="Compact"/>
        <w:numPr>
          <w:ilvl w:val="0"/>
          <w:numId w:val="1012"/>
        </w:numPr>
      </w:pPr>
      <w:r>
        <w:t xml:space="preserve">Any proceeds and their intended use</w:t>
      </w:r>
    </w:p>
    <w:p>
      <w:pPr>
        <w:pStyle w:val="Compact"/>
        <w:numPr>
          <w:ilvl w:val="0"/>
          <w:numId w:val="1012"/>
        </w:numPr>
      </w:pPr>
      <w:r>
        <w:t xml:space="preserve">Whether reported guidance will be recast</w:t>
      </w:r>
    </w:p>
    <w:bookmarkEnd w:id="22"/>
    <w:bookmarkStart w:id="23" w:name="portfolio-simplification"/>
    <w:p>
      <w:pPr>
        <w:pStyle w:val="Heading3"/>
      </w:pPr>
      <w:r>
        <w:t xml:space="preserve">Portfolio simplification</w:t>
      </w:r>
    </w:p>
    <w:p>
      <w:pPr>
        <w:pStyle w:val="FirstParagraph"/>
      </w:pPr>
      <w:r>
        <w:t xml:space="preserve">The JV, Entrust acquisition and Kudu acquisition are repositioning Leidos toward Defense technology, cyber, managed health and energy infrastructure. Management may be asked whether further divestitures or acquisitions are likely.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likely-stock-reaction-scenarios"/>
    <w:p>
      <w:pPr>
        <w:pStyle w:val="Heading2"/>
      </w:pPr>
      <w:r>
        <w:t xml:space="preserve">Likely stock-reaction scenarios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3"/>
        </w:numPr>
      </w:pPr>
      <w:r>
        <w:t xml:space="preserve">Revenue near or above $4.4 billion</w:t>
      </w:r>
    </w:p>
    <w:p>
      <w:pPr>
        <w:pStyle w:val="Compact"/>
        <w:numPr>
          <w:ilvl w:val="0"/>
          <w:numId w:val="1013"/>
        </w:numPr>
      </w:pPr>
      <w:r>
        <w:t xml:space="preserve">Margins hold in the mid-13% area despite the expected trough</w:t>
      </w:r>
    </w:p>
    <w:p>
      <w:pPr>
        <w:pStyle w:val="Compact"/>
        <w:numPr>
          <w:ilvl w:val="0"/>
          <w:numId w:val="1013"/>
        </w:numPr>
      </w:pPr>
      <w:r>
        <w:t xml:space="preserve">Book-to-bill exceeds 1.0x</w:t>
      </w:r>
    </w:p>
    <w:p>
      <w:pPr>
        <w:pStyle w:val="Compact"/>
        <w:numPr>
          <w:ilvl w:val="0"/>
          <w:numId w:val="1013"/>
        </w:numPr>
      </w:pPr>
      <w:r>
        <w:t xml:space="preserve">Entrust integration and pipeline commentary are strong</w:t>
      </w:r>
    </w:p>
    <w:p>
      <w:pPr>
        <w:pStyle w:val="Compact"/>
        <w:numPr>
          <w:ilvl w:val="0"/>
          <w:numId w:val="1013"/>
        </w:numPr>
      </w:pPr>
      <w:r>
        <w:t xml:space="preserve">Defense profitability improves without additional charges</w:t>
      </w:r>
    </w:p>
    <w:p>
      <w:pPr>
        <w:pStyle w:val="Compact"/>
        <w:numPr>
          <w:ilvl w:val="0"/>
          <w:numId w:val="1013"/>
        </w:numPr>
      </w:pPr>
      <w:r>
        <w:t xml:space="preserve">Guidance is reaffirmed or raised</w:t>
      </w:r>
    </w:p>
    <w:p>
      <w:pPr>
        <w:pStyle w:val="Compact"/>
        <w:numPr>
          <w:ilvl w:val="0"/>
          <w:numId w:val="1013"/>
        </w:numPr>
      </w:pPr>
      <w:r>
        <w:t xml:space="preserve">Management identifies specific Q3 program ramps</w:t>
      </w:r>
    </w:p>
    <w:p>
      <w:pPr>
        <w:pStyle w:val="FirstParagraph"/>
      </w:pPr>
      <w:r>
        <w:t xml:space="preserve">The most important bullish outcome would be evidence that Q2 was genuinely the trough and that second-half growth is already funded.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4"/>
        </w:numPr>
      </w:pPr>
      <w:r>
        <w:t xml:space="preserve">Revenue of approximately</w:t>
      </w:r>
      <w:r>
        <w:t xml:space="preserve"> </w:t>
      </w:r>
      <m:oMath>
        <m:r>
          <m:t>4.3</m:t>
        </m:r>
        <m:r>
          <m:rPr>
            <m:sty m:val="p"/>
          </m:rPr>
          <m:t>–</m:t>
        </m:r>
      </m:oMath>
      <w:r>
        <w:t xml:space="preserve">4.4 billion</w:t>
      </w:r>
    </w:p>
    <w:p>
      <w:pPr>
        <w:pStyle w:val="Compact"/>
        <w:numPr>
          <w:ilvl w:val="0"/>
          <w:numId w:val="1014"/>
        </w:numPr>
      </w:pPr>
      <w:r>
        <w:t xml:space="preserve">EPS around $2.90</w:t>
      </w:r>
    </w:p>
    <w:p>
      <w:pPr>
        <w:pStyle w:val="Compact"/>
        <w:numPr>
          <w:ilvl w:val="0"/>
          <w:numId w:val="1014"/>
        </w:numPr>
      </w:pPr>
      <w:r>
        <w:t xml:space="preserve">Some margin compression</w:t>
      </w:r>
    </w:p>
    <w:p>
      <w:pPr>
        <w:pStyle w:val="Compact"/>
        <w:numPr>
          <w:ilvl w:val="0"/>
          <w:numId w:val="1014"/>
        </w:numPr>
      </w:pPr>
      <w:r>
        <w:t xml:space="preserve">Guidance reaffirmed</w:t>
      </w:r>
    </w:p>
    <w:p>
      <w:pPr>
        <w:pStyle w:val="Compact"/>
        <w:numPr>
          <w:ilvl w:val="0"/>
          <w:numId w:val="1014"/>
        </w:numPr>
      </w:pPr>
      <w:r>
        <w:t xml:space="preserve">Management remains confident but provides limited incremental detail</w:t>
      </w:r>
    </w:p>
    <w:p>
      <w:pPr>
        <w:pStyle w:val="FirstParagraph"/>
      </w:pPr>
      <w:r>
        <w:t xml:space="preserve">Given the stock’s decline since Q1, this could still produce a neutral-to-positive reaction, provided bookings are acceptable.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5"/>
        </w:numPr>
      </w:pPr>
      <w:r>
        <w:t xml:space="preserve">Revenue materially below $4.3 billion</w:t>
      </w:r>
    </w:p>
    <w:p>
      <w:pPr>
        <w:pStyle w:val="Compact"/>
        <w:numPr>
          <w:ilvl w:val="0"/>
          <w:numId w:val="1015"/>
        </w:numPr>
      </w:pPr>
      <w:r>
        <w:t xml:space="preserve">Additional fixed-price write-downs in Defense or Homeland</w:t>
      </w:r>
    </w:p>
    <w:p>
      <w:pPr>
        <w:pStyle w:val="Compact"/>
        <w:numPr>
          <w:ilvl w:val="0"/>
          <w:numId w:val="1015"/>
        </w:numPr>
      </w:pPr>
      <w:r>
        <w:t xml:space="preserve">Health exam volumes decline faster than expected</w:t>
      </w:r>
    </w:p>
    <w:p>
      <w:pPr>
        <w:pStyle w:val="Compact"/>
        <w:numPr>
          <w:ilvl w:val="0"/>
          <w:numId w:val="1015"/>
        </w:numPr>
      </w:pPr>
      <w:r>
        <w:t xml:space="preserve">Book-to-bill remains below 1.0x</w:t>
      </w:r>
    </w:p>
    <w:p>
      <w:pPr>
        <w:pStyle w:val="Compact"/>
        <w:numPr>
          <w:ilvl w:val="0"/>
          <w:numId w:val="1015"/>
        </w:numPr>
      </w:pPr>
      <w:r>
        <w:t xml:space="preserve">Entrust integration costs outweigh near-term accretion</w:t>
      </w:r>
    </w:p>
    <w:p>
      <w:pPr>
        <w:pStyle w:val="Compact"/>
        <w:numPr>
          <w:ilvl w:val="0"/>
          <w:numId w:val="1015"/>
        </w:numPr>
      </w:pPr>
      <w:r>
        <w:t xml:space="preserve">Guidance is lowered or increasingly dependent on Q4</w:t>
      </w:r>
    </w:p>
    <w:p>
      <w:pPr>
        <w:pStyle w:val="FirstParagraph"/>
      </w:pPr>
      <w:r>
        <w:t xml:space="preserve">The largest downside risk is not a modest Q2 miss by itself; it is evidence that the anticipated second-half inflection has moved further out.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LDOS enters Q2 earnings with</w:t>
      </w:r>
      <w:r>
        <w:t xml:space="preserve"> </w:t>
      </w:r>
      <w:r>
        <w:rPr>
          <w:b/>
          <w:bCs/>
        </w:rPr>
        <w:t xml:space="preserve">low near-term expectations but a demanding second-half guide</w:t>
      </w:r>
      <w:r>
        <w:t xml:space="preserve">. Management has already labeled the quarter a trough, so investors should emphasize bookings, funded backlog, Defense production timing and Entrust execution over small deviations from quarterly EPS.</w:t>
      </w:r>
    </w:p>
    <w:p>
      <w:pPr>
        <w:pStyle w:val="BodyText"/>
      </w:pPr>
      <w:r>
        <w:t xml:space="preserve">The cleanest positive thesis is:</w:t>
      </w:r>
    </w:p>
    <w:p>
      <w:pPr>
        <w:pStyle w:val="BlockText"/>
      </w:pPr>
      <w:r>
        <w:t xml:space="preserve">Q2 holds together, bookings improve, Entrust performs, and management provides a credible funded bridge to faster growth and higher earnings in Q3 and Q4.</w:t>
      </w:r>
    </w:p>
    <w:p>
      <w:pPr>
        <w:pStyle w:val="FirstParagraph"/>
      </w:pPr>
      <w:r>
        <w:t xml:space="preserve">The cleanest negative thesis is:</w:t>
      </w:r>
    </w:p>
    <w:p>
      <w:pPr>
        <w:pStyle w:val="BlockText"/>
      </w:pPr>
      <w:r>
        <w:t xml:space="preserve">Q2 weakness proves deeper than expected, awards remain slow, and the full-year outlook requires an increasingly aggressive fourth-quarter recovery.</w:t>
      </w:r>
    </w:p>
    <w:p>
      <w:pPr>
        <w:pStyle w:val="FirstParagraph"/>
      </w:pPr>
      <w:r>
        <w:t xml:space="preserve">Given the stock’s significant underperformance since May, a controlled quarter and credible reaffirmation may be sufficient. But another quarter of weak bookings or unexpected contract charges would likely keep investors skeptical.</w:t>
      </w:r>
    </w:p>
    <w:p>
      <w:pPr>
        <w:pStyle w:val="BodyText"/>
      </w:pPr>
      <w:r>
        <w:rPr>
          <w:i/>
          <w:iCs/>
        </w:rPr>
        <w:t xml:space="preserve">Research based on Leidos’ Q1 2026 earnings call and 10-Q, its July 7 earnings-call announcement, and stock-price data through August 3, 2026.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2026-08-04T00:19:53Z</dcterms:created>
  <dcterms:modified xsi:type="dcterms:W3CDTF">2026-08-04T00:19:53Z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