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dos-earnings-predictions--2026-08-04"/>
    <w:p>
      <w:pPr>
        <w:pStyle w:val="Heading1"/>
      </w:pPr>
      <w:r>
        <w:t xml:space="preserve">LDOS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~$4.40B vs. cons $4.35B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~$2.94 vs. cons $2.95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Book-to-bill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~0.85x vs. cons 0.95x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~$18.20B vs. cons $18.22B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~$12.30 vs. cons $12.32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cash-flow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~$1.80B vs. cons $1.78B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margin / 2H recovery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~13.5% vs. cons 13.5%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-0.8% (STABILIZE)</w:t>
            </w:r>
          </w:p>
        </w:tc>
        <w:tc>
          <w:tcPr/>
          <w:p>
            <w:pPr>
              <w:pStyle w:val="Compact"/>
            </w:pPr>
            <w:r>
              <w:t xml:space="preserve">A modest revenue beat and maintained FY26 EPS/revenue framework should limit estimate cuts, but sub-1x bookings and a low-point Q2 margin print leave the 2H ramp unproven. The initial negative reaction should stabilize as unchanged FY26 math prevents material out-period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2026-08-04T00:18:09Z</dcterms:created>
  <dcterms:modified xsi:type="dcterms:W3CDTF">2026-08-04T00:18:09Z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