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leidos-nyse-ldos--2q26-earnings-preview"/>
    <w:p>
      <w:pPr>
        <w:pStyle w:val="Heading1"/>
      </w:pPr>
      <w:r>
        <w:t xml:space="preserve">Leidos (NYSE: LDOS)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Leidos scheduled its 2Q26 results release and conference call for</w:t>
      </w:r>
      <w:r>
        <w:t xml:space="preserve"> </w:t>
      </w:r>
      <w:r>
        <w:rPr>
          <w:b/>
          <w:bCs/>
        </w:rPr>
        <w:t xml:space="preserve">Tuesday, August 4, 2026, at 8:00 a.m. ET</w:t>
      </w:r>
      <w:r>
        <w:t xml:space="preserve">—the date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is therefore framed around the key issues investors should assess in the release and call, using information available ahead of the report.</w:t>
      </w:r>
    </w:p>
    <w:bookmarkStart w:id="9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The central question for 2Q is not simply whether Leidos beats or misses near-term expectations. Management explicitly characterized</w:t>
      </w:r>
      <w:r>
        <w:t xml:space="preserve"> </w:t>
      </w:r>
      <w:r>
        <w:rPr>
          <w:b/>
          <w:bCs/>
        </w:rPr>
        <w:t xml:space="preserve">2Q26 as the expected low point for revenue growth and margins</w:t>
      </w:r>
      <w:r>
        <w:t xml:space="preserve">, following some Q1 work pull-forward, the absence of a one-time insurance recovery, and increased investment in strategic growth programs. The more important test is whether management can reaffirm that a softer second quarter is temporary and that growth, bookings, and margins inflect in</w:t>
      </w:r>
      <w:r>
        <w:t xml:space="preserve"> </w:t>
      </w:r>
      <w:r>
        <w:rPr>
          <w:b/>
          <w:bCs/>
        </w:rPr>
        <w:t xml:space="preserve">3Q–4Q26</w:t>
      </w:r>
      <w:r>
        <w:t xml:space="preserve">.</w:t>
      </w:r>
    </w:p>
    <w:p>
      <w:pPr>
        <w:pStyle w:val="BodyText"/>
      </w:pPr>
      <w:r>
        <w:t xml:space="preserve">Leidos entered the quarter with a favorable strategic narrative: exposure to defense technology, intelligence/digital infrastructure, cyber, managed health, and energy resilience; a recently closed Entrust acquisition; and a raised full-year outlook. But investors will want proof that these opportunities are converting into awards, revenue, and cash rather than merely expanding the pipeline.</w:t>
      </w:r>
    </w:p>
    <w:p>
      <w:pPr>
        <w:pStyle w:val="BodyText"/>
      </w:pPr>
      <w:r>
        <w:t xml:space="preserve">The stock closed at</w:t>
      </w:r>
      <w:r>
        <w:t xml:space="preserve"> </w:t>
      </w:r>
      <w:r>
        <w:rPr>
          <w:b/>
          <w:bCs/>
        </w:rPr>
        <w:t xml:space="preserve">$118.75 on August 3</w:t>
      </w:r>
      <w:r>
        <w:t xml:space="preserve">, down roughly</w:t>
      </w:r>
      <w:r>
        <w:t xml:space="preserve"> </w:t>
      </w:r>
      <w:r>
        <w:rPr>
          <w:b/>
          <w:bCs/>
        </w:rPr>
        <w:t xml:space="preserve">20% from $148.81 on May 4</w:t>
      </w:r>
      <w:r>
        <w:t xml:space="preserve">—the session before first-quarter earnings—but up nearly</w:t>
      </w:r>
      <w:r>
        <w:t xml:space="preserve"> </w:t>
      </w:r>
      <w:r>
        <w:rPr>
          <w:b/>
          <w:bCs/>
        </w:rPr>
        <w:t xml:space="preserve">19% from its June 25 low of $100.00</w:t>
      </w:r>
      <w:r>
        <w:t xml:space="preserve">. That performance suggests expectations may be more tempered than immediately following 1Q, while leaving the shares sensitive to the credibility of the second-half recovery message.</w:t>
      </w:r>
    </w:p>
    <w:bookmarkEnd w:id="9"/>
    <w:bookmarkStart w:id="10" w:name="X0782feab7b756fa0712c3cb17b9ee432f66444b"/>
    <w:p>
      <w:pPr>
        <w:pStyle w:val="Heading2"/>
      </w:pPr>
      <w:r>
        <w:t xml:space="preserve">The baseline: what Leidos guided to after 1Q</w:t>
      </w:r>
    </w:p>
    <w:p>
      <w:pPr>
        <w:pStyle w:val="FirstParagraph"/>
      </w:pPr>
      <w:r>
        <w:t xml:space="preserve">After a strong first quarter, Leidos raised FY26 guidance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FY26 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guidance</w:t>
            </w:r>
          </w:p>
        </w:tc>
        <w:tc>
          <w:tcPr/>
          <w:p>
            <w:pPr>
              <w:pStyle w:val="Compact"/>
            </w:pPr>
            <w:r>
              <w:t xml:space="preserve">Key implication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18.0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18.4B</w:t>
            </w:r>
          </w:p>
        </w:tc>
        <w:tc>
          <w:tcPr/>
          <w:p>
            <w:pPr>
              <w:pStyle w:val="Compact"/>
            </w:pPr>
            <w:r>
              <w:t xml:space="preserve">Includes the contribution from Entrust; management said the organic outlook was otherwise largely unchanged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Mid-13%</w:t>
            </w:r>
          </w:p>
        </w:tc>
        <w:tc>
          <w:tcPr/>
          <w:p>
            <w:pPr>
              <w:pStyle w:val="Compact"/>
            </w:pPr>
            <w:r>
              <w:t xml:space="preserve">Implies margins should recover after the expected 2Q softness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12.10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12.50</w:t>
            </w:r>
          </w:p>
        </w:tc>
        <w:tc>
          <w:tcPr/>
          <w:p>
            <w:pPr>
              <w:pStyle w:val="Compact"/>
            </w:pPr>
            <w:r>
              <w:t xml:space="preserve">Raised by $0.05 following the Entrust close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cash flow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~$1.8B</w:t>
            </w:r>
          </w:p>
        </w:tc>
        <w:tc>
          <w:tcPr/>
          <w:p>
            <w:pPr>
              <w:pStyle w:val="Compact"/>
            </w:pPr>
            <w:r>
              <w:t xml:space="preserve">Raised by $50M</w:t>
            </w:r>
          </w:p>
        </w:tc>
      </w:tr>
    </w:tbl>
    <w:p>
      <w:pPr>
        <w:pStyle w:val="BodyText"/>
      </w:pPr>
      <w:r>
        <w:t xml:space="preserve">The revenue guide equates to an average quarterly run rate of roughly</w:t>
      </w:r>
      <w:r>
        <w:t xml:space="preserve"> </w:t>
      </w:r>
      <m:oMath>
        <m:r>
          <m:t>4.5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4.6B</w:t>
      </w:r>
      <w:r>
        <w:t xml:space="preserve">, although management has clearly signaled that quarterly performance will not be linear.</w:t>
      </w:r>
    </w:p>
    <w:bookmarkEnd w:id="10"/>
    <w:bookmarkStart w:id="16" w:name="what-matters-most-in-the-report"/>
    <w:p>
      <w:pPr>
        <w:pStyle w:val="Heading2"/>
      </w:pPr>
      <w:r>
        <w:t xml:space="preserve">What matters most in the report</w:t>
      </w:r>
    </w:p>
    <w:bookmarkStart w:id="11" w:name="X2c4bacaf759ef692e387d64308c07729ff609a5"/>
    <w:p>
      <w:pPr>
        <w:pStyle w:val="Heading3"/>
      </w:pPr>
      <w:r>
        <w:t xml:space="preserve">1. Confirmation that 2Q is a trough—not a new run rate</w:t>
      </w:r>
    </w:p>
    <w:p>
      <w:pPr>
        <w:pStyle w:val="FirstParagraph"/>
      </w:pPr>
      <w:r>
        <w:t xml:space="preserve">Management said in May that Q1 revenue outperformance was partly pulled forward from Q2 and expected</w:t>
      </w:r>
      <w:r>
        <w:t xml:space="preserve"> </w:t>
      </w:r>
      <w:r>
        <w:rPr>
          <w:b/>
          <w:bCs/>
        </w:rPr>
        <w:t xml:space="preserve">a modest Q2 step-down in both revenue run rate and profitability</w:t>
      </w:r>
      <w:r>
        <w:t xml:space="preserve">, followed by a more meaningful acceleration in the second half.</w:t>
      </w:r>
    </w:p>
    <w:p>
      <w:pPr>
        <w:pStyle w:val="BodyText"/>
      </w:pPr>
      <w:r>
        <w:t xml:space="preserve">For investors, the crucial indicators will be:</w:t>
      </w:r>
    </w:p>
    <w:p>
      <w:pPr>
        <w:pStyle w:val="Compact"/>
        <w:numPr>
          <w:ilvl w:val="0"/>
          <w:numId w:val="1001"/>
        </w:numPr>
      </w:pPr>
      <w:r>
        <w:t xml:space="preserve">Whether full-year revenue, EPS, margin, and operating-cash-flow guidance is</w:t>
      </w:r>
      <w:r>
        <w:t xml:space="preserve"> </w:t>
      </w:r>
      <w:r>
        <w:rPr>
          <w:b/>
          <w:bCs/>
        </w:rPr>
        <w:t xml:space="preserve">maintained or raised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Management’s confidence in a</w:t>
      </w:r>
      <w:r>
        <w:t xml:space="preserve"> </w:t>
      </w:r>
      <w:r>
        <w:rPr>
          <w:b/>
          <w:bCs/>
        </w:rPr>
        <w:t xml:space="preserve">3Q–4Q growth step-up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The size and timing of incremental growth investments, particularly in Defense and Health.</w:t>
      </w:r>
    </w:p>
    <w:p>
      <w:pPr>
        <w:pStyle w:val="Compact"/>
        <w:numPr>
          <w:ilvl w:val="0"/>
          <w:numId w:val="1001"/>
        </w:numPr>
      </w:pPr>
      <w:r>
        <w:t xml:space="preserve">Any evidence that government procurement timing remains delayed following the earlier government shutdown, or that award activity is beginning to normalize.</w:t>
      </w:r>
    </w:p>
    <w:p>
      <w:pPr>
        <w:pStyle w:val="FirstParagraph"/>
      </w:pPr>
      <w:r>
        <w:t xml:space="preserve">A soft 2Q by itself should not undermine the thesis if bookings, funded backlog, program ramps, and guidance support the anticipated second-half progression.</w:t>
      </w:r>
    </w:p>
    <w:bookmarkEnd w:id="11"/>
    <w:bookmarkStart w:id="12" w:name="X4b230408ff78e5de8ed25e2c5d3baa5c657e676"/>
    <w:p>
      <w:pPr>
        <w:pStyle w:val="Heading3"/>
      </w:pPr>
      <w:r>
        <w:t xml:space="preserve">2. Bookings and backlog: the most important leading indicator</w:t>
      </w:r>
    </w:p>
    <w:p>
      <w:pPr>
        <w:pStyle w:val="FirstParagraph"/>
      </w:pPr>
      <w:r>
        <w:t xml:space="preserve">Leidos reported a relatively light</w:t>
      </w:r>
      <w:r>
        <w:t xml:space="preserve"> </w:t>
      </w:r>
      <w:r>
        <w:rPr>
          <w:b/>
          <w:bCs/>
        </w:rPr>
        <w:t xml:space="preserve">0.8x book-to-bill</w:t>
      </w:r>
      <w:r>
        <w:t xml:space="preserve"> </w:t>
      </w:r>
      <w:r>
        <w:t xml:space="preserve">in 1Q, although trailing-12-month book-to-bill was</w:t>
      </w:r>
      <w:r>
        <w:t xml:space="preserve"> </w:t>
      </w:r>
      <w:r>
        <w:rPr>
          <w:b/>
          <w:bCs/>
        </w:rPr>
        <w:t xml:space="preserve">1.1x</w:t>
      </w:r>
      <w:r>
        <w:t xml:space="preserve">. Total backlog was</w:t>
      </w:r>
      <w:r>
        <w:t xml:space="preserve"> </w:t>
      </w:r>
      <m:oMath>
        <m:r>
          <m:t>48.4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9.6B of funded backlog</w:t>
      </w:r>
      <w:r>
        <w:t xml:space="preserve">. Management attributed the weaker quarterly booking figure partly to a slower procurement environment and expected awards to strengthen through the year.</w:t>
      </w:r>
    </w:p>
    <w:p>
      <w:pPr>
        <w:pStyle w:val="BodyText"/>
      </w:pPr>
      <w:r>
        <w:t xml:space="preserve">Investors should focus on:</w:t>
      </w:r>
    </w:p>
    <w:p>
      <w:pPr>
        <w:pStyle w:val="Compact"/>
        <w:numPr>
          <w:ilvl w:val="0"/>
          <w:numId w:val="1002"/>
        </w:numPr>
      </w:pPr>
      <w:r>
        <w:t xml:space="preserve">Quarterly and trailing-12-month book-to-bill.</w:t>
      </w:r>
    </w:p>
    <w:p>
      <w:pPr>
        <w:pStyle w:val="Compact"/>
        <w:numPr>
          <w:ilvl w:val="0"/>
          <w:numId w:val="1002"/>
        </w:numPr>
      </w:pPr>
      <w:r>
        <w:t xml:space="preserve">Funded-backlog growth, which is more directly relevant to nearer-term revenue conversion.</w:t>
      </w:r>
    </w:p>
    <w:p>
      <w:pPr>
        <w:pStyle w:val="Compact"/>
        <w:numPr>
          <w:ilvl w:val="0"/>
          <w:numId w:val="1002"/>
        </w:numPr>
      </w:pPr>
      <w:r>
        <w:t xml:space="preserve">Major awards in defense tech, intelligence/cyber, digital infrastructure, health, and energy.</w:t>
      </w:r>
    </w:p>
    <w:p>
      <w:pPr>
        <w:pStyle w:val="Compact"/>
        <w:numPr>
          <w:ilvl w:val="0"/>
          <w:numId w:val="1002"/>
        </w:numPr>
      </w:pPr>
      <w:r>
        <w:t xml:space="preserve">Whether management’s prior outlook for rising award activity in the second half remains intact.</w:t>
      </w:r>
    </w:p>
    <w:p>
      <w:pPr>
        <w:pStyle w:val="FirstParagraph"/>
      </w:pPr>
      <w:r>
        <w:t xml:space="preserve">A clear improvement in bookings would make the back-half revenue inflection substantially more believable.</w:t>
      </w:r>
    </w:p>
    <w:bookmarkEnd w:id="12"/>
    <w:bookmarkStart w:id="13" w:name="X2a6d841dab29c61053ac26f2a282d3f955f3154"/>
    <w:p>
      <w:pPr>
        <w:pStyle w:val="Heading3"/>
      </w:pPr>
      <w:r>
        <w:t xml:space="preserve">3. Defense: margin recovery and evidence of product-scale opportunity</w:t>
      </w:r>
    </w:p>
    <w:p>
      <w:pPr>
        <w:pStyle w:val="FirstParagraph"/>
      </w:pPr>
      <w:r>
        <w:t xml:space="preserve">Defense revenue was essentially flat in 1Q, while non-GAAP operating margin fell to</w:t>
      </w:r>
      <w:r>
        <w:t xml:space="preserve"> </w:t>
      </w:r>
      <w:r>
        <w:rPr>
          <w:b/>
          <w:bCs/>
        </w:rPr>
        <w:t xml:space="preserve">8.3%</w:t>
      </w:r>
      <w:r>
        <w:t xml:space="preserve"> </w:t>
      </w:r>
      <w:r>
        <w:t xml:space="preserve">from</w:t>
      </w:r>
      <w:r>
        <w:t xml:space="preserve"> </w:t>
      </w:r>
      <w:r>
        <w:rPr>
          <w:b/>
          <w:bCs/>
        </w:rPr>
        <w:t xml:space="preserve">9.8%</w:t>
      </w:r>
      <w:r>
        <w:t xml:space="preserve"> </w:t>
      </w:r>
      <w:r>
        <w:t xml:space="preserve">a year earlier. The pressure reflected a schedule delay on a fixed-price development program. Management argued that the ramp of programs such as integrated air defense and other production-oriented awards should improve profitability as the year progresses.</w:t>
      </w:r>
    </w:p>
    <w:p>
      <w:pPr>
        <w:pStyle w:val="BodyText"/>
      </w:pPr>
      <w:r>
        <w:t xml:space="preserve">The key questions are:</w:t>
      </w:r>
    </w:p>
    <w:p>
      <w:pPr>
        <w:pStyle w:val="Compact"/>
        <w:numPr>
          <w:ilvl w:val="0"/>
          <w:numId w:val="1003"/>
        </w:numPr>
      </w:pPr>
      <w:r>
        <w:t xml:space="preserve">Has the delayed fixed-price development program progressed as planned?</w:t>
      </w:r>
    </w:p>
    <w:p>
      <w:pPr>
        <w:pStyle w:val="Compact"/>
        <w:numPr>
          <w:ilvl w:val="0"/>
          <w:numId w:val="1003"/>
        </w:numPr>
      </w:pPr>
      <w:r>
        <w:t xml:space="preserve">Are higher-margin production programs beginning to offset development-program pressure?</w:t>
      </w:r>
    </w:p>
    <w:p>
      <w:pPr>
        <w:pStyle w:val="Compact"/>
        <w:numPr>
          <w:ilvl w:val="0"/>
          <w:numId w:val="1003"/>
        </w:numPr>
      </w:pPr>
      <w:r>
        <w:t xml:space="preserve">Is capital spending rising to support production capacity, and is that spend still viewed as finite rather than structural?</w:t>
      </w:r>
    </w:p>
    <w:p>
      <w:pPr>
        <w:pStyle w:val="Compact"/>
        <w:numPr>
          <w:ilvl w:val="0"/>
          <w:numId w:val="1003"/>
        </w:numPr>
      </w:pPr>
      <w:r>
        <w:t xml:space="preserve">Are defense-tech opportunities—missiles, air and missile defense, autonomous maritime platforms, counter-UAS, and sensing—turning into funded contracts?</w:t>
      </w:r>
    </w:p>
    <w:p>
      <w:pPr>
        <w:pStyle w:val="FirstParagraph"/>
      </w:pPr>
      <w:r>
        <w:t xml:space="preserve">This segment is likely the largest upside lever if Leidos can translate its technology pipeline into scaled production revenue without repeating fixed-price execution issues.</w:t>
      </w:r>
    </w:p>
    <w:bookmarkEnd w:id="13"/>
    <w:bookmarkStart w:id="14" w:name="X73bc09def7fedd8535ff8507e5edad4ffad17ad"/>
    <w:p>
      <w:pPr>
        <w:pStyle w:val="Heading3"/>
      </w:pPr>
      <w:r>
        <w:t xml:space="preserve">4. Homeland and Entrust: synergy realization versus integration and program risk</w:t>
      </w:r>
    </w:p>
    <w:p>
      <w:pPr>
        <w:pStyle w:val="FirstParagraph"/>
      </w:pPr>
      <w:r>
        <w:t xml:space="preserve">Homeland was a major 1Q growth contributor, with revenue up</w:t>
      </w:r>
      <w:r>
        <w:t xml:space="preserve"> </w:t>
      </w:r>
      <w:r>
        <w:rPr>
          <w:b/>
          <w:bCs/>
        </w:rPr>
        <w:t xml:space="preserve">6%</w:t>
      </w:r>
      <w:r>
        <w:t xml:space="preserve">, aided by energy-infrastructure engineering and air-traffic-management demand. However, segment non-GAAP margin declined to</w:t>
      </w:r>
      <w:r>
        <w:t xml:space="preserve"> </w:t>
      </w:r>
      <w:r>
        <w:rPr>
          <w:b/>
          <w:bCs/>
        </w:rPr>
        <w:t xml:space="preserve">8.5%</w:t>
      </w:r>
      <w:r>
        <w:t xml:space="preserve"> </w:t>
      </w:r>
      <w:r>
        <w:t xml:space="preserve">from</w:t>
      </w:r>
      <w:r>
        <w:t xml:space="preserve"> </w:t>
      </w:r>
      <w:r>
        <w:rPr>
          <w:b/>
          <w:bCs/>
        </w:rPr>
        <w:t xml:space="preserve">9.4%</w:t>
      </w:r>
      <w:r>
        <w:t xml:space="preserve">, reflecting changing customer requirements on a fixed-price program, plus acquisition and joint-venture-related costs at the GAAP level.</w:t>
      </w:r>
    </w:p>
    <w:p>
      <w:pPr>
        <w:pStyle w:val="BodyText"/>
      </w:pPr>
      <w:r>
        <w:t xml:space="preserve">The Entrust acquisition is the principal near-term catalyst. Management said it was immediately accretive to FY26 non-GAAP EPS and cash flow, integration was ahead of schedule, and the combined energy-infrastructure opportunity pipeline had expanded to approximately</w:t>
      </w:r>
      <w:r>
        <w:t xml:space="preserve"> </w:t>
      </w:r>
      <w:r>
        <w:rPr>
          <w:b/>
          <w:bCs/>
        </w:rPr>
        <w:t xml:space="preserve">$10B</w:t>
      </w:r>
      <w:r>
        <w:t xml:space="preserve">.</w:t>
      </w:r>
    </w:p>
    <w:p>
      <w:pPr>
        <w:pStyle w:val="BodyText"/>
      </w:pPr>
      <w:r>
        <w:t xml:space="preserve">Watch for:</w:t>
      </w:r>
    </w:p>
    <w:p>
      <w:pPr>
        <w:pStyle w:val="Compact"/>
        <w:numPr>
          <w:ilvl w:val="0"/>
          <w:numId w:val="1004"/>
        </w:numPr>
      </w:pPr>
      <w:r>
        <w:t xml:space="preserve">Entrust revenue contribution and integration costs.</w:t>
      </w:r>
    </w:p>
    <w:p>
      <w:pPr>
        <w:pStyle w:val="Compact"/>
        <w:numPr>
          <w:ilvl w:val="0"/>
          <w:numId w:val="1004"/>
        </w:numPr>
      </w:pPr>
      <w:r>
        <w:t xml:space="preserve">Evidence of revenue synergies and new energy-infrastructure wins.</w:t>
      </w:r>
    </w:p>
    <w:p>
      <w:pPr>
        <w:pStyle w:val="Compact"/>
        <w:numPr>
          <w:ilvl w:val="0"/>
          <w:numId w:val="1004"/>
        </w:numPr>
      </w:pPr>
      <w:r>
        <w:t xml:space="preserve">Updated expectations for 2026 accretion and 2027 synergy realization.</w:t>
      </w:r>
    </w:p>
    <w:p>
      <w:pPr>
        <w:pStyle w:val="Compact"/>
        <w:numPr>
          <w:ilvl w:val="0"/>
          <w:numId w:val="1004"/>
        </w:numPr>
      </w:pPr>
      <w:r>
        <w:t xml:space="preserve">Progress toward closing the planned security-products joint venture with Analogic.</w:t>
      </w:r>
    </w:p>
    <w:p>
      <w:pPr>
        <w:pStyle w:val="FirstParagraph"/>
      </w:pPr>
      <w:r>
        <w:t xml:space="preserve">The security JV bears watching because, after close, Leidos expects to stop consolidating revenue from that business and instead report its roughly 40% share of JV net income through equity-method income. That will affect reported revenue mix even if the underlying economics are favorable.</w:t>
      </w:r>
    </w:p>
    <w:bookmarkEnd w:id="14"/>
    <w:bookmarkStart w:id="15" w:name="X99e21a0d11842bcdeaaa9c916176dd69f49c215"/>
    <w:p>
      <w:pPr>
        <w:pStyle w:val="Heading3"/>
      </w:pPr>
      <w:r>
        <w:t xml:space="preserve">5. Health: durability of high-margin Veterans Benefits activity</w:t>
      </w:r>
    </w:p>
    <w:p>
      <w:pPr>
        <w:pStyle w:val="FirstParagraph"/>
      </w:pPr>
      <w:r>
        <w:t xml:space="preserve">Health revenue was flat in 1Q, but the business delivered an exceptional</w:t>
      </w:r>
      <w:r>
        <w:t xml:space="preserve"> </w:t>
      </w:r>
      <w:r>
        <w:rPr>
          <w:b/>
          <w:bCs/>
        </w:rPr>
        <w:t xml:space="preserve">24.2% non-GAAP operating margin</w:t>
      </w:r>
      <w:r>
        <w:t xml:space="preserve">. The debate is whether high Veterans Benefits Administration exam volumes can remain durable as competition and customer procurement evolve.</w:t>
      </w:r>
    </w:p>
    <w:p>
      <w:pPr>
        <w:pStyle w:val="BodyText"/>
      </w:pPr>
      <w:r>
        <w:t xml:space="preserve">Management’s position was constructive: exam volumes remained elevated, the VA was working through backlog, and Leidos saw an opportunity to use technology to improve cycle times and preserve a leading role. It also pointed to Military OneSource and the My Service Treatment Record pilot as ways to expand beyond the core exams business.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05"/>
        </w:numPr>
      </w:pPr>
      <w:r>
        <w:t xml:space="preserve">Current examination volumes and any effect from the addition of a fourth vendor.</w:t>
      </w:r>
    </w:p>
    <w:p>
      <w:pPr>
        <w:pStyle w:val="Compact"/>
        <w:numPr>
          <w:ilvl w:val="0"/>
          <w:numId w:val="1005"/>
        </w:numPr>
      </w:pPr>
      <w:r>
        <w:t xml:space="preserve">Commentary on the future contracting structure for Veterans Benefits exams.</w:t>
      </w:r>
    </w:p>
    <w:p>
      <w:pPr>
        <w:pStyle w:val="Compact"/>
        <w:numPr>
          <w:ilvl w:val="0"/>
          <w:numId w:val="1005"/>
        </w:numPr>
      </w:pPr>
      <w:r>
        <w:t xml:space="preserve">Health-segment revenue outlook and whether margins can remain above 20%.</w:t>
      </w:r>
    </w:p>
    <w:p>
      <w:pPr>
        <w:pStyle w:val="Compact"/>
        <w:numPr>
          <w:ilvl w:val="0"/>
          <w:numId w:val="1005"/>
        </w:numPr>
      </w:pPr>
      <w:r>
        <w:t xml:space="preserve">Progress converting newer managed-health and digital-health awards into a larger growth platform.</w:t>
      </w:r>
    </w:p>
    <w:bookmarkEnd w:id="15"/>
    <w:bookmarkEnd w:id="16"/>
    <w:bookmarkStart w:id="17" w:name="X62e61b69b4604d3be5941ced79b87c880bfddba"/>
    <w:p>
      <w:pPr>
        <w:pStyle w:val="Heading2"/>
      </w:pPr>
      <w:r>
        <w:t xml:space="preserve">Cash flow, leverage, and capital allocation</w:t>
      </w:r>
    </w:p>
    <w:p>
      <w:pPr>
        <w:pStyle w:val="FirstParagraph"/>
      </w:pPr>
      <w:r>
        <w:t xml:space="preserve">Leidos generated</w:t>
      </w:r>
      <w:r>
        <w:t xml:space="preserve"> </w:t>
      </w:r>
      <m:oMath>
        <m:r>
          <m:t>301</m:t>
        </m:r>
        <m:r>
          <m:t>M</m:t>
        </m:r>
        <m:r>
          <m:t>o</m:t>
        </m:r>
        <m:r>
          <m:t>f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270M of free cash flow</w:t>
      </w:r>
      <w:r>
        <w:t xml:space="preserve"> </w:t>
      </w:r>
      <w:r>
        <w:t xml:space="preserve">in 1Q. It ended the quarter with</w:t>
      </w:r>
      <w:r>
        <w:t xml:space="preserve"> </w:t>
      </w:r>
      <m:oMath>
        <m:r>
          <m:t>6.3</m:t>
        </m:r>
        <m:r>
          <m:t>B</m:t>
        </m:r>
        <m:r>
          <m:t>o</m:t>
        </m:r>
        <m:r>
          <m:t>f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457M of cash</w:t>
      </w:r>
      <w:r>
        <w:t xml:space="preserve">, and gross leverage of</w:t>
      </w:r>
      <w:r>
        <w:t xml:space="preserve"> </w:t>
      </w:r>
      <w:r>
        <w:rPr>
          <w:b/>
          <w:bCs/>
        </w:rPr>
        <w:t xml:space="preserve">2.6x</w:t>
      </w:r>
      <w:r>
        <w:t xml:space="preserve">, after funding the Entrust acquisition with a mix of cash, commercial paper, and new debt.</w:t>
      </w:r>
    </w:p>
    <w:p>
      <w:pPr>
        <w:pStyle w:val="BodyText"/>
      </w:pPr>
      <w:r>
        <w:t xml:space="preserve">The 2Q report should clarify whether Leidos remains on track to produce approximately</w:t>
      </w:r>
      <w:r>
        <w:t xml:space="preserve"> </w:t>
      </w:r>
      <w:r>
        <w:rPr>
          <w:b/>
          <w:bCs/>
        </w:rPr>
        <w:t xml:space="preserve">$1.8B of FY26 operating cash flow</w:t>
      </w:r>
      <w:r>
        <w:t xml:space="preserve"> </w:t>
      </w:r>
      <w:r>
        <w:t xml:space="preserve">while funding higher CapEx, reducing commercial paper, paying its dividend, and repurchasing shares.</w:t>
      </w:r>
    </w:p>
    <w:p>
      <w:pPr>
        <w:pStyle w:val="BodyText"/>
      </w:pPr>
      <w:r>
        <w:t xml:space="preserve">Key points to monitor:</w:t>
      </w:r>
    </w:p>
    <w:p>
      <w:pPr>
        <w:pStyle w:val="Compact"/>
        <w:numPr>
          <w:ilvl w:val="0"/>
          <w:numId w:val="1006"/>
        </w:numPr>
      </w:pPr>
      <w:r>
        <w:t xml:space="preserve">Working-capital and collections performance.</w:t>
      </w:r>
    </w:p>
    <w:p>
      <w:pPr>
        <w:pStyle w:val="Compact"/>
        <w:numPr>
          <w:ilvl w:val="0"/>
          <w:numId w:val="1006"/>
        </w:numPr>
      </w:pPr>
      <w:r>
        <w:t xml:space="preserve">The pace of commercial-paper repayment.</w:t>
      </w:r>
    </w:p>
    <w:p>
      <w:pPr>
        <w:pStyle w:val="Compact"/>
        <w:numPr>
          <w:ilvl w:val="0"/>
          <w:numId w:val="1006"/>
        </w:numPr>
      </w:pPr>
      <w:r>
        <w:t xml:space="preserve">Whether CapEx rises materially from the modest</w:t>
      </w:r>
      <w:r>
        <w:t xml:space="preserve"> </w:t>
      </w:r>
      <w:r>
        <w:rPr>
          <w:b/>
          <w:bCs/>
        </w:rPr>
        <w:t xml:space="preserve">$31M</w:t>
      </w:r>
      <w:r>
        <w:t xml:space="preserve"> </w:t>
      </w:r>
      <w:r>
        <w:t xml:space="preserve">spent in 1Q, consistent with management’s prior plan to invest in production opportunities.</w:t>
      </w:r>
    </w:p>
    <w:p>
      <w:pPr>
        <w:pStyle w:val="Compact"/>
        <w:numPr>
          <w:ilvl w:val="0"/>
          <w:numId w:val="1006"/>
        </w:numPr>
      </w:pPr>
      <w:r>
        <w:t xml:space="preserve">Whether share repurchases remain active alongside deleveraging and strategic investment.</w:t>
      </w:r>
    </w:p>
    <w:bookmarkEnd w:id="17"/>
    <w:bookmarkStart w:id="18" w:name="potential-positive-catalysts"/>
    <w:p>
      <w:pPr>
        <w:pStyle w:val="Heading2"/>
      </w:pPr>
      <w:r>
        <w:t xml:space="preserve">Potential positive catalysts</w:t>
      </w:r>
    </w:p>
    <w:p>
      <w:pPr>
        <w:pStyle w:val="Compact"/>
        <w:numPr>
          <w:ilvl w:val="0"/>
          <w:numId w:val="1007"/>
        </w:numPr>
      </w:pPr>
      <w:r>
        <w:t xml:space="preserve">Reaffirmation or an increase to FY26 guidance despite the expected 2Q softness.</w:t>
      </w:r>
    </w:p>
    <w:p>
      <w:pPr>
        <w:pStyle w:val="Compact"/>
        <w:numPr>
          <w:ilvl w:val="0"/>
          <w:numId w:val="1007"/>
        </w:numPr>
      </w:pPr>
      <w:r>
        <w:t xml:space="preserve">Improved book-to-bill and funded backlog.</w:t>
      </w:r>
    </w:p>
    <w:p>
      <w:pPr>
        <w:pStyle w:val="Compact"/>
        <w:numPr>
          <w:ilvl w:val="0"/>
          <w:numId w:val="1007"/>
        </w:numPr>
      </w:pPr>
      <w:r>
        <w:t xml:space="preserve">Clear evidence that Defense margins are recovering and production ramps are underway.</w:t>
      </w:r>
    </w:p>
    <w:p>
      <w:pPr>
        <w:pStyle w:val="Compact"/>
        <w:numPr>
          <w:ilvl w:val="0"/>
          <w:numId w:val="1007"/>
        </w:numPr>
      </w:pPr>
      <w:r>
        <w:t xml:space="preserve">Entrust synergies or energy wins arriving faster than expected.</w:t>
      </w:r>
    </w:p>
    <w:p>
      <w:pPr>
        <w:pStyle w:val="Compact"/>
        <w:numPr>
          <w:ilvl w:val="0"/>
          <w:numId w:val="1007"/>
        </w:numPr>
      </w:pPr>
      <w:r>
        <w:t xml:space="preserve">Continued high Veterans Benefits exam volumes and sustained Health profitability.</w:t>
      </w:r>
    </w:p>
    <w:p>
      <w:pPr>
        <w:pStyle w:val="Compact"/>
        <w:numPr>
          <w:ilvl w:val="0"/>
          <w:numId w:val="1007"/>
        </w:numPr>
      </w:pPr>
      <w:r>
        <w:t xml:space="preserve">Strong cash conversion and a visible path to reducing acquisition-related leverage.</w:t>
      </w:r>
    </w:p>
    <w:bookmarkEnd w:id="18"/>
    <w:bookmarkStart w:id="19" w:name="principal-downside-risks"/>
    <w:p>
      <w:pPr>
        <w:pStyle w:val="Heading2"/>
      </w:pPr>
      <w:r>
        <w:t xml:space="preserve">Principal downside risks</w:t>
      </w:r>
    </w:p>
    <w:p>
      <w:pPr>
        <w:pStyle w:val="Compact"/>
        <w:numPr>
          <w:ilvl w:val="0"/>
          <w:numId w:val="1008"/>
        </w:numPr>
      </w:pPr>
      <w:r>
        <w:t xml:space="preserve">A 2Q shortfall that is deeper than management’s previously telegraphed “low point,” particularly if full-year guidance is cut.</w:t>
      </w:r>
    </w:p>
    <w:p>
      <w:pPr>
        <w:pStyle w:val="Compact"/>
        <w:numPr>
          <w:ilvl w:val="0"/>
          <w:numId w:val="1008"/>
        </w:numPr>
      </w:pPr>
      <w:r>
        <w:t xml:space="preserve">Continued weak bookings or delayed federal procurement, which would call the anticipated second-half acceleration into question.</w:t>
      </w:r>
    </w:p>
    <w:p>
      <w:pPr>
        <w:pStyle w:val="Compact"/>
        <w:numPr>
          <w:ilvl w:val="0"/>
          <w:numId w:val="1008"/>
        </w:numPr>
      </w:pPr>
      <w:r>
        <w:t xml:space="preserve">Additional cost or schedule pressure on fixed-price programs in Defense or Homeland.</w:t>
      </w:r>
    </w:p>
    <w:p>
      <w:pPr>
        <w:pStyle w:val="Compact"/>
        <w:numPr>
          <w:ilvl w:val="0"/>
          <w:numId w:val="1008"/>
        </w:numPr>
      </w:pPr>
      <w:r>
        <w:t xml:space="preserve">Health-volume normalization or increased competition that pressures the segment’s unusually high margins.</w:t>
      </w:r>
    </w:p>
    <w:p>
      <w:pPr>
        <w:pStyle w:val="Compact"/>
        <w:numPr>
          <w:ilvl w:val="0"/>
          <w:numId w:val="1008"/>
        </w:numPr>
      </w:pPr>
      <w:r>
        <w:t xml:space="preserve">Integration costs, leverage, or execution issues associated with Entrust.</w:t>
      </w:r>
    </w:p>
    <w:p>
      <w:pPr>
        <w:pStyle w:val="Compact"/>
        <w:numPr>
          <w:ilvl w:val="0"/>
          <w:numId w:val="1008"/>
        </w:numPr>
      </w:pPr>
      <w:r>
        <w:t xml:space="preserve">A security-JV closing or reporting transition that complicates revenue comparisons and investor interpretation.</w:t>
      </w:r>
    </w:p>
    <w:bookmarkEnd w:id="19"/>
    <w:bookmarkStart w:id="2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The earnings call is likely to hinge on the credibility of the second-half setup.</w:t>
      </w:r>
      <w:r>
        <w:t xml:space="preserve"> </w:t>
      </w:r>
      <w:r>
        <w:t xml:space="preserve">Investors should be prepared for a comparatively muted 2Q operating print because management signaled it in advance. A constructive outcome would pair that softness with maintained FY26 guidance, better bookings, evidence of Defense margin recovery, tangible Entrust traction, and confidence in cash generation.</w:t>
      </w:r>
    </w:p>
    <w:p>
      <w:pPr>
        <w:pStyle w:val="BodyText"/>
      </w:pPr>
      <w:r>
        <w:t xml:space="preserve">Conversely, the report becomes more problematic if Leidos attributes weak results to the same timing and execution issues but cannot point to improving awards, funded backlog, or a clear 3Q–4Q ramp.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2026-08-04T00:18:08Z</dcterms:created>
  <dcterms:modified xsi:type="dcterms:W3CDTF">2026-08-04T00:18:08Z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