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Leidos Holdings, Inc. (LDOS)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Leidos Holdings, Inc.</w:t>
            </w:r>
          </w:p>
        </w:tc>
      </w:tr>
      <w:tr>
        <w:tc>
          <w:tcPr>
            <w:tcW w:type="dxa" w:w="4320"/>
          </w:tcPr>
          <w:p>
            <w:r>
              <w:rPr>
                <w:rFonts w:ascii="Calibri" w:hAnsi="Calibri"/>
                <w:b/>
                <w:sz w:val="22"/>
              </w:rPr>
              <w:t>Ticker</w:t>
            </w:r>
          </w:p>
        </w:tc>
        <w:tc>
          <w:tcPr>
            <w:tcW w:type="dxa" w:w="4320"/>
          </w:tcPr>
          <w:p>
            <w:r>
              <w:rPr>
                <w:rFonts w:ascii="Calibri" w:hAnsi="Calibri"/>
                <w:sz w:val="22"/>
              </w:rPr>
              <w:t>LDOS (NYSE)</w:t>
            </w:r>
          </w:p>
        </w:tc>
      </w:tr>
      <w:tr>
        <w:tc>
          <w:tcPr>
            <w:tcW w:type="dxa" w:w="4320"/>
          </w:tcPr>
          <w:p>
            <w:r>
              <w:rPr>
                <w:rFonts w:ascii="Calibri" w:hAnsi="Calibri"/>
                <w:b/>
                <w:sz w:val="22"/>
              </w:rPr>
              <w:t>Upcoming Earnings Date</w:t>
            </w:r>
          </w:p>
        </w:tc>
        <w:tc>
          <w:tcPr>
            <w:tcW w:type="dxa" w:w="4320"/>
          </w:tcPr>
          <w:p>
            <w:r>
              <w:rPr>
                <w:rFonts w:ascii="Calibri" w:hAnsi="Calibri"/>
                <w:sz w:val="22"/>
              </w:rPr>
              <w:t>August 4, 2026 (Q2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Reporting Period</w:t>
            </w:r>
          </w:p>
        </w:tc>
        <w:tc>
          <w:tcPr>
            <w:tcW w:type="dxa" w:w="4320"/>
          </w:tcPr>
          <w:p>
            <w:r>
              <w:rPr>
                <w:rFonts w:ascii="Calibri" w:hAnsi="Calibri"/>
                <w:sz w:val="22"/>
              </w:rPr>
              <w:t>Quarter ended June 30, 2026 (2Q FY2026)</w:t>
            </w:r>
          </w:p>
        </w:tc>
      </w:tr>
      <w:tr>
        <w:tc>
          <w:tcPr>
            <w:tcW w:type="dxa" w:w="4320"/>
          </w:tcPr>
          <w:p>
            <w:r>
              <w:rPr>
                <w:rFonts w:ascii="Calibri" w:hAnsi="Calibri"/>
                <w:b/>
                <w:sz w:val="22"/>
              </w:rPr>
              <w:t>Sector ETF Benchmark</w:t>
            </w:r>
          </w:p>
        </w:tc>
        <w:tc>
          <w:tcPr>
            <w:tcW w:type="dxa" w:w="4320"/>
          </w:tcPr>
          <w:p>
            <w:r>
              <w:rPr>
                <w:rFonts w:ascii="Calibri" w:hAnsi="Calibri"/>
                <w:sz w:val="22"/>
              </w:rPr>
              <w:t>iShares U.S. Aerospace &amp; Defense ETF (ITA)</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a “beat-but-tempered” scenario — management explicitly guided Q2 as the “likely low point” for revenue growth and margin, making the bar achievable while limiting upside surprise; the single biggest swing factor is whether </w:t>
      </w:r>
      <w:r>
        <w:rPr>
          <w:rFonts w:ascii="Calibri" w:hAnsi="Calibri"/>
          <w:b/>
          <w:color w:val="525866"/>
          <w:sz w:val="22"/>
        </w:rPr>
        <w:t>book-to-bill recovers meaningfully</w:t>
      </w:r>
      <w:r>
        <w:rPr>
          <w:rFonts w:ascii="Calibri" w:hAnsi="Calibri"/>
          <w:color w:val="525866"/>
          <w:sz w:val="22"/>
        </w:rPr>
        <w:t xml:space="preserve"> from Q1’s 0.8x, signaling the anticipated H2 acceleration is on track.</w:t>
      </w:r>
    </w:p>
    <w:p>
      <w:r>
        <w:rPr>
          <w:rFonts w:ascii="Calibri" w:hAnsi="Calibri"/>
          <w:color w:val="525866"/>
          <w:sz w:val="22"/>
        </w:rPr>
        <w:t xml:space="preserve">Heading into the Q2 2026 print on August 4, Leidos faces a </w:t>
      </w:r>
      <w:r>
        <w:rPr>
          <w:rFonts w:ascii="Calibri" w:hAnsi="Calibri"/>
          <w:b/>
          <w:color w:val="525866"/>
          <w:sz w:val="22"/>
        </w:rPr>
        <w:t>deliberately telegraphed trough quarter</w:t>
      </w:r>
      <w:r>
        <w:rPr>
          <w:rFonts w:ascii="Calibri" w:hAnsi="Calibri"/>
          <w:color w:val="525866"/>
          <w:sz w:val="22"/>
        </w:rPr>
        <w:t xml:space="preserve"> — management guided on the May 5 call that Q2 would be the low point for both revenue growth and margin, attributing Q1’s outperformance to a pull-forward rather than a structural re-acceleration. Consensus revenue sits at ~$4.44B (up ~4% YoY) and operating EPS at ~$2.91, both modestly above the post-Q1 baseline, reflecting the Entrust acquisition contribution and steady organic demand in Intelligence &amp; Digital and Homeland. The </w:t>
      </w:r>
      <w:r>
        <w:rPr>
          <w:rFonts w:ascii="Calibri" w:hAnsi="Calibri"/>
          <w:b/>
          <w:color w:val="525866"/>
          <w:sz w:val="22"/>
        </w:rPr>
        <w:t>ENTRUST integration is tracking ahead of schedule</w:t>
      </w:r>
      <w:r>
        <w:rPr>
          <w:rFonts w:ascii="Calibri" w:hAnsi="Calibri"/>
          <w:color w:val="525866"/>
          <w:sz w:val="22"/>
        </w:rPr>
        <w:t xml:space="preserve"> and is already accretive, providing a credible floor under EPS even if organic revenue growth is muted. The stock has de-rated sharply since the Q1 print — down ~16% vs. ITA up ~11% — driven almost entirely by multiple compression (EV/EBITDA contracted from ~11.3x to ~8.0x over six months), suggesting the market has already priced in a weak quarter and is looking through to the H2 inflection. The key wildcard is the </w:t>
      </w:r>
      <w:r>
        <w:rPr>
          <w:rFonts w:ascii="Calibri" w:hAnsi="Calibri"/>
          <w:b/>
          <w:color w:val="525866"/>
          <w:sz w:val="22"/>
        </w:rPr>
        <w:t>VBA disability exam volume trajectory</w:t>
      </w:r>
      <w:r>
        <w:rPr>
          <w:rFonts w:ascii="Calibri" w:hAnsi="Calibri"/>
          <w:color w:val="525866"/>
          <w:sz w:val="22"/>
        </w:rPr>
        <w:t xml:space="preserve"> in Health and whether the Defense segment’s Space Wide Field of View fixed-price program delay has been resolved, either of which could swing margins by 50–100 bps versus expectations.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achievable but not low bar</w:t>
      </w:r>
      <w:r>
        <w:rPr>
          <w:rFonts w:ascii="Calibri" w:hAnsi="Calibri"/>
          <w:color w:val="525866"/>
          <w:sz w:val="22"/>
        </w:rPr>
        <w:t xml:space="preserve"> — revenue at ~$4.44B implies ~4% YoY growth consistent with management’s trough framing, while operating EPS of ~$2.91 is modestly above the post-Q1 baseline; </w:t>
      </w:r>
      <w:r>
        <w:rPr>
          <w:rFonts w:ascii="Calibri" w:hAnsi="Calibri"/>
          <w:b/>
          <w:color w:val="525866"/>
          <w:sz w:val="22"/>
        </w:rPr>
        <w:t>adjusted EBITDA margin</w:t>
      </w:r>
      <w:r>
        <w:rPr>
          <w:rFonts w:ascii="Calibri" w:hAnsi="Calibri"/>
          <w:color w:val="525866"/>
          <w:sz w:val="22"/>
        </w:rPr>
        <w:t xml:space="preserve"> is the bigger swing factor given the absence of Q1’s $15M insurance reimbursement and rising growth investments in Q2.</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$4.40B</w:t>
            </w:r>
          </w:p>
        </w:tc>
        <w:tc>
          <w:tcPr>
            <w:tcW w:type="dxa" w:w="1234"/>
          </w:tcPr>
          <w:p>
            <w:r>
              <w:rPr>
                <w:rFonts w:ascii="Calibri" w:hAnsi="Calibri"/>
                <w:sz w:val="22"/>
              </w:rPr>
              <w:t>$4.25B</w:t>
            </w:r>
          </w:p>
        </w:tc>
        <w:tc>
          <w:tcPr>
            <w:tcW w:type="dxa" w:w="1234"/>
          </w:tcPr>
          <w:p>
            <w:r>
              <w:rPr>
                <w:rFonts w:ascii="Calibri" w:hAnsi="Calibri"/>
                <w:sz w:val="22"/>
              </w:rPr>
              <w:t>$4.44B</w:t>
            </w:r>
          </w:p>
        </w:tc>
        <w:tc>
          <w:tcPr>
            <w:tcW w:type="dxa" w:w="1234"/>
          </w:tcPr>
          <w:p>
            <w:r>
              <w:rPr>
                <w:rFonts w:ascii="Calibri" w:hAnsi="Calibri"/>
                <w:sz w:val="22"/>
              </w:rPr>
              <w:t>+4.5% YoY</w:t>
            </w:r>
          </w:p>
        </w:tc>
        <w:tc>
          <w:tcPr>
            <w:tcW w:type="dxa" w:w="1234"/>
          </w:tcPr>
          <w:p>
            <w:r>
              <w:rPr>
                <w:rFonts w:ascii="Calibri" w:hAnsi="Calibri"/>
                <w:sz w:val="22"/>
              </w:rPr>
              <w:t>$18.00–$18.40B (mid: $18.20B)</w:t>
            </w:r>
          </w:p>
        </w:tc>
        <w:tc>
          <w:tcPr>
            <w:tcW w:type="dxa" w:w="1234"/>
          </w:tcPr>
          <w:p>
            <w:r>
              <w:rPr>
                <w:rFonts w:ascii="Calibri" w:hAnsi="Calibri"/>
                <w:sz w:val="22"/>
              </w:rPr>
              <w:t>~+1.3% above Q2 implied run-rate</w:t>
            </w:r>
          </w:p>
        </w:tc>
      </w:tr>
      <w:tr>
        <w:tc>
          <w:tcPr>
            <w:tcW w:type="dxa" w:w="1234"/>
          </w:tcPr>
          <w:p>
            <w:r>
              <w:rPr>
                <w:rFonts w:ascii="Calibri" w:hAnsi="Calibri"/>
                <w:sz w:val="22"/>
              </w:rPr>
              <w:t>Adj. Operating EPS ($)</w:t>
            </w:r>
          </w:p>
        </w:tc>
        <w:tc>
          <w:tcPr>
            <w:tcW w:type="dxa" w:w="1234"/>
          </w:tcPr>
          <w:p>
            <w:r>
              <w:rPr>
                <w:rFonts w:ascii="Calibri" w:hAnsi="Calibri"/>
                <w:sz w:val="22"/>
              </w:rPr>
              <w:t>$3.13</w:t>
            </w:r>
          </w:p>
        </w:tc>
        <w:tc>
          <w:tcPr>
            <w:tcW w:type="dxa" w:w="1234"/>
          </w:tcPr>
          <w:p>
            <w:r>
              <w:rPr>
                <w:rFonts w:ascii="Calibri" w:hAnsi="Calibri"/>
                <w:sz w:val="22"/>
              </w:rPr>
              <w:t>$3.21</w:t>
            </w:r>
          </w:p>
        </w:tc>
        <w:tc>
          <w:tcPr>
            <w:tcW w:type="dxa" w:w="1234"/>
          </w:tcPr>
          <w:p>
            <w:r>
              <w:rPr>
                <w:rFonts w:ascii="Calibri" w:hAnsi="Calibri"/>
                <w:sz w:val="22"/>
              </w:rPr>
              <w:t>$2.91</w:t>
            </w:r>
          </w:p>
        </w:tc>
        <w:tc>
          <w:tcPr>
            <w:tcW w:type="dxa" w:w="1234"/>
          </w:tcPr>
          <w:p>
            <w:r>
              <w:rPr>
                <w:rFonts w:ascii="Calibri" w:hAnsi="Calibri"/>
                <w:sz w:val="22"/>
              </w:rPr>
              <w:t>-9.3% YoY</w:t>
            </w:r>
          </w:p>
        </w:tc>
        <w:tc>
          <w:tcPr>
            <w:tcW w:type="dxa" w:w="1234"/>
          </w:tcPr>
          <w:p>
            <w:r>
              <w:rPr>
                <w:rFonts w:ascii="Calibri" w:hAnsi="Calibri"/>
                <w:sz w:val="22"/>
              </w:rPr>
              <w:t>$12.10–$12.50 (mid: $12.30)</w:t>
            </w:r>
          </w:p>
        </w:tc>
        <w:tc>
          <w:tcPr>
            <w:tcW w:type="dxa" w:w="1234"/>
          </w:tcPr>
          <w:p>
            <w:r>
              <w:rPr>
                <w:rFonts w:ascii="Calibri" w:hAnsi="Calibri"/>
                <w:sz w:val="22"/>
              </w:rPr>
              <w:t>~+0.1% vs. FY mid</w:t>
            </w:r>
          </w:p>
        </w:tc>
      </w:tr>
      <w:tr>
        <w:tc>
          <w:tcPr>
            <w:tcW w:type="dxa" w:w="1234"/>
          </w:tcPr>
          <w:p>
            <w:r>
              <w:rPr>
                <w:rFonts w:ascii="Calibri" w:hAnsi="Calibri"/>
                <w:sz w:val="22"/>
              </w:rPr>
              <w:t>Adj. EBITDA ($M)</w:t>
            </w:r>
          </w:p>
        </w:tc>
        <w:tc>
          <w:tcPr>
            <w:tcW w:type="dxa" w:w="1234"/>
          </w:tcPr>
          <w:p>
            <w:r>
              <w:rPr>
                <w:rFonts w:ascii="Calibri" w:hAnsi="Calibri"/>
                <w:sz w:val="22"/>
              </w:rPr>
              <w:t>$614M</w:t>
            </w:r>
          </w:p>
        </w:tc>
        <w:tc>
          <w:tcPr>
            <w:tcW w:type="dxa" w:w="1234"/>
          </w:tcPr>
          <w:p>
            <w:r>
              <w:rPr>
                <w:rFonts w:ascii="Calibri" w:hAnsi="Calibri"/>
                <w:sz w:val="22"/>
              </w:rPr>
              <w:t>$647M</w:t>
            </w:r>
          </w:p>
        </w:tc>
        <w:tc>
          <w:tcPr>
            <w:tcW w:type="dxa" w:w="1234"/>
          </w:tcPr>
          <w:p>
            <w:r>
              <w:rPr>
                <w:rFonts w:ascii="Calibri" w:hAnsi="Calibri"/>
                <w:sz w:val="22"/>
              </w:rPr>
              <w:t>$598M</w:t>
            </w:r>
          </w:p>
        </w:tc>
        <w:tc>
          <w:tcPr>
            <w:tcW w:type="dxa" w:w="1234"/>
          </w:tcPr>
          <w:p>
            <w:r>
              <w:rPr>
                <w:rFonts w:ascii="Calibri" w:hAnsi="Calibri"/>
                <w:sz w:val="22"/>
              </w:rPr>
              <w:t>-7.6% YoY</w:t>
            </w:r>
          </w:p>
        </w:tc>
        <w:tc>
          <w:tcPr>
            <w:tcW w:type="dxa" w:w="1234"/>
          </w:tcPr>
          <w:p>
            <w:r>
              <w:rPr>
                <w:rFonts w:ascii="Calibri" w:hAnsi="Calibri"/>
                <w:sz w:val="22"/>
              </w:rPr>
              <w:t>Mid-13% margin</w:t>
            </w:r>
          </w:p>
        </w:tc>
        <w:tc>
          <w:tcPr>
            <w:tcW w:type="dxa" w:w="1234"/>
          </w:tcPr>
          <w:p>
            <w:r>
              <w:rPr>
                <w:rFonts w:ascii="Calibri" w:hAnsi="Calibri"/>
                <w:sz w:val="22"/>
              </w:rPr>
              <w:t>~13.5% implied margin</w:t>
            </w:r>
          </w:p>
        </w:tc>
      </w:tr>
      <w:tr>
        <w:tc>
          <w:tcPr>
            <w:tcW w:type="dxa" w:w="1234"/>
          </w:tcPr>
          <w:p>
            <w:r>
              <w:rPr>
                <w:rFonts w:ascii="Calibri" w:hAnsi="Calibri"/>
                <w:sz w:val="22"/>
              </w:rPr>
              <w:t>Book-to-Bill Ratio (x)</w:t>
            </w:r>
          </w:p>
        </w:tc>
        <w:tc>
          <w:tcPr>
            <w:tcW w:type="dxa" w:w="1234"/>
          </w:tcPr>
          <w:p>
            <w:r>
              <w:rPr>
                <w:rFonts w:ascii="Calibri" w:hAnsi="Calibri"/>
                <w:sz w:val="22"/>
              </w:rPr>
              <w:t>0.80x</w:t>
            </w:r>
          </w:p>
        </w:tc>
        <w:tc>
          <w:tcPr>
            <w:tcW w:type="dxa" w:w="1234"/>
          </w:tcPr>
          <w:p>
            <w:r>
              <w:rPr>
                <w:rFonts w:ascii="Calibri" w:hAnsi="Calibri"/>
                <w:sz w:val="22"/>
              </w:rPr>
              <w:t>0.94x</w:t>
            </w:r>
          </w:p>
        </w:tc>
        <w:tc>
          <w:tcPr>
            <w:tcW w:type="dxa" w:w="1234"/>
          </w:tcPr>
          <w:p>
            <w:r>
              <w:rPr>
                <w:rFonts w:ascii="Calibri" w:hAnsi="Calibri"/>
                <w:sz w:val="22"/>
              </w:rPr>
              <w:t>~1.02x</w:t>
            </w:r>
          </w:p>
        </w:tc>
        <w:tc>
          <w:tcPr>
            <w:tcW w:type="dxa" w:w="1234"/>
          </w:tcPr>
          <w:p>
            <w:r>
              <w:rPr>
                <w:rFonts w:ascii="Calibri" w:hAnsi="Calibri"/>
                <w:sz w:val="22"/>
              </w:rPr>
              <w:t>N/A</w:t>
            </w:r>
          </w:p>
        </w:tc>
        <w:tc>
          <w:tcPr>
            <w:tcW w:type="dxa" w:w="1234"/>
          </w:tcPr>
          <w:p>
            <w:r>
              <w:rPr>
                <w:rFonts w:ascii="Calibri" w:hAnsi="Calibri"/>
                <w:sz w:val="22"/>
              </w:rPr>
              <w:t>N/A (qualitative: awards to pick up)</w:t>
            </w:r>
          </w:p>
        </w:tc>
        <w:tc>
          <w:tcPr>
            <w:tcW w:type="dxa" w:w="1234"/>
          </w:tcPr>
          <w:p>
            <w:r>
              <w:rPr>
                <w:rFonts w:ascii="Calibri" w:hAnsi="Calibri"/>
                <w:sz w:val="22"/>
              </w:rPr>
              <w:t>N/A</w:t>
            </w:r>
          </w:p>
        </w:tc>
      </w:tr>
      <w:tr>
        <w:tc>
          <w:tcPr>
            <w:tcW w:type="dxa" w:w="1234"/>
          </w:tcPr>
          <w:p>
            <w:r>
              <w:rPr>
                <w:rFonts w:ascii="Calibri" w:hAnsi="Calibri"/>
                <w:sz w:val="22"/>
              </w:rPr>
              <w:t>Funded Backlog ($B)</w:t>
            </w:r>
          </w:p>
        </w:tc>
        <w:tc>
          <w:tcPr>
            <w:tcW w:type="dxa" w:w="1234"/>
          </w:tcPr>
          <w:p>
            <w:r>
              <w:rPr>
                <w:rFonts w:ascii="Calibri" w:hAnsi="Calibri"/>
                <w:sz w:val="22"/>
              </w:rPr>
              <w:t>$9.60B</w:t>
            </w:r>
          </w:p>
        </w:tc>
        <w:tc>
          <w:tcPr>
            <w:tcW w:type="dxa" w:w="1234"/>
          </w:tcPr>
          <w:p>
            <w:r>
              <w:rPr>
                <w:rFonts w:ascii="Calibri" w:hAnsi="Calibri"/>
                <w:sz w:val="22"/>
              </w:rPr>
              <w:t>$7.12B</w:t>
            </w:r>
          </w:p>
        </w:tc>
        <w:tc>
          <w:tcPr>
            <w:tcW w:type="dxa" w:w="1234"/>
          </w:tcPr>
          <w:p>
            <w:r>
              <w:rPr>
                <w:rFonts w:ascii="Calibri" w:hAnsi="Calibri"/>
                <w:sz w:val="22"/>
              </w:rPr>
              <w:t>$9.65B</w:t>
            </w:r>
          </w:p>
        </w:tc>
        <w:tc>
          <w:tcPr>
            <w:tcW w:type="dxa" w:w="1234"/>
          </w:tcPr>
          <w:p>
            <w:r>
              <w:rPr>
                <w:rFonts w:ascii="Calibri" w:hAnsi="Calibri"/>
                <w:sz w:val="22"/>
              </w:rPr>
              <w:t>+35.5%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Defense System Revenue ($M)</w:t>
            </w:r>
          </w:p>
        </w:tc>
        <w:tc>
          <w:tcPr>
            <w:tcW w:type="dxa" w:w="1234"/>
          </w:tcPr>
          <w:p>
            <w:r>
              <w:rPr>
                <w:rFonts w:ascii="Calibri" w:hAnsi="Calibri"/>
                <w:sz w:val="22"/>
              </w:rPr>
              <w:t>$883M</w:t>
            </w:r>
          </w:p>
        </w:tc>
        <w:tc>
          <w:tcPr>
            <w:tcW w:type="dxa" w:w="1234"/>
          </w:tcPr>
          <w:p>
            <w:r>
              <w:rPr>
                <w:rFonts w:ascii="Calibri" w:hAnsi="Calibri"/>
                <w:sz w:val="22"/>
              </w:rPr>
              <w:t>$899M</w:t>
            </w:r>
          </w:p>
        </w:tc>
        <w:tc>
          <w:tcPr>
            <w:tcW w:type="dxa" w:w="1234"/>
          </w:tcPr>
          <w:p>
            <w:r>
              <w:rPr>
                <w:rFonts w:ascii="Calibri" w:hAnsi="Calibri"/>
                <w:sz w:val="22"/>
              </w:rPr>
              <w:t>$816M</w:t>
            </w:r>
          </w:p>
        </w:tc>
        <w:tc>
          <w:tcPr>
            <w:tcW w:type="dxa" w:w="1234"/>
          </w:tcPr>
          <w:p>
            <w:r>
              <w:rPr>
                <w:rFonts w:ascii="Calibri" w:hAnsi="Calibri"/>
                <w:sz w:val="22"/>
              </w:rPr>
              <w:t>-9.2%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Source: Visible Alpha Consensus and Actuals Data. Q2 2026 consensus as of August 3, 2026. FY2026 guidance as stated on Q1 2026 earnings call (May 5, 2026). Prior year actuals from Visible Alpha. Note: YoY change for EPS reflects the absence of Q1’s $15M insurance reimbursement benefit and higher growth investments in Q2 as guided by management.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$4.13B</w:t>
            </w:r>
          </w:p>
        </w:tc>
        <w:tc>
          <w:tcPr>
            <w:tcW w:type="dxa" w:w="1728"/>
          </w:tcPr>
          <w:p>
            <w:r>
              <w:rPr>
                <w:rFonts w:ascii="Calibri" w:hAnsi="Calibri"/>
                <w:sz w:val="22"/>
              </w:rPr>
              <w:t>$4.06B</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$4.19B</w:t>
            </w:r>
          </w:p>
        </w:tc>
        <w:tc>
          <w:tcPr>
            <w:tcW w:type="dxa" w:w="1728"/>
          </w:tcPr>
          <w:p>
            <w:r>
              <w:rPr>
                <w:rFonts w:ascii="Calibri" w:hAnsi="Calibri"/>
                <w:sz w:val="22"/>
              </w:rPr>
              <w:t>$4.07B</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$4.37B</w:t>
            </w:r>
          </w:p>
        </w:tc>
        <w:tc>
          <w:tcPr>
            <w:tcW w:type="dxa" w:w="1728"/>
          </w:tcPr>
          <w:p>
            <w:r>
              <w:rPr>
                <w:rFonts w:ascii="Calibri" w:hAnsi="Calibri"/>
                <w:sz w:val="22"/>
              </w:rPr>
              <w:t>$4.13B</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$4.25B</w:t>
            </w:r>
          </w:p>
        </w:tc>
        <w:tc>
          <w:tcPr>
            <w:tcW w:type="dxa" w:w="1728"/>
          </w:tcPr>
          <w:p>
            <w:r>
              <w:rPr>
                <w:rFonts w:ascii="Calibri" w:hAnsi="Calibri"/>
                <w:sz w:val="22"/>
              </w:rPr>
              <w:t>$4.10B</w:t>
            </w:r>
          </w:p>
        </w:tc>
        <w:tc>
          <w:tcPr>
            <w:tcW w:type="dxa" w:w="1728"/>
          </w:tcPr>
          <w:p>
            <w:r>
              <w:rPr>
                <w:rFonts w:ascii="Calibri" w:hAnsi="Calibri"/>
                <w:b/>
                <w:color w:val="30A46C"/>
                <w:sz w:val="22"/>
              </w:rPr>
              <w:t>+3.7%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$4.25B</w:t>
            </w:r>
          </w:p>
        </w:tc>
        <w:tc>
          <w:tcPr>
            <w:tcW w:type="dxa" w:w="1728"/>
          </w:tcPr>
          <w:p>
            <w:r>
              <w:rPr>
                <w:rFonts w:ascii="Calibri" w:hAnsi="Calibri"/>
                <w:sz w:val="22"/>
              </w:rPr>
              <w:t>$4.25B</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$4.47B</w:t>
            </w:r>
          </w:p>
        </w:tc>
        <w:tc>
          <w:tcPr>
            <w:tcW w:type="dxa" w:w="1728"/>
          </w:tcPr>
          <w:p>
            <w:r>
              <w:rPr>
                <w:rFonts w:ascii="Calibri" w:hAnsi="Calibri"/>
                <w:sz w:val="22"/>
              </w:rPr>
              <w:t>$4.28B</w:t>
            </w:r>
          </w:p>
        </w:tc>
        <w:tc>
          <w:tcPr>
            <w:tcW w:type="dxa" w:w="1728"/>
          </w:tcPr>
          <w:p>
            <w:r>
              <w:rPr>
                <w:rFonts w:ascii="Calibri" w:hAnsi="Calibri"/>
                <w:b/>
                <w:color w:val="30A46C"/>
                <w:sz w:val="22"/>
              </w:rPr>
              <w:t>+4.4%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$4.21B</w:t>
            </w:r>
          </w:p>
        </w:tc>
        <w:tc>
          <w:tcPr>
            <w:tcW w:type="dxa" w:w="1728"/>
          </w:tcPr>
          <w:p>
            <w:r>
              <w:rPr>
                <w:rFonts w:ascii="Calibri" w:hAnsi="Calibri"/>
                <w:sz w:val="22"/>
              </w:rPr>
              <w:t>$4.31B</w:t>
            </w:r>
          </w:p>
        </w:tc>
        <w:tc>
          <w:tcPr>
            <w:tcW w:type="dxa" w:w="1728"/>
          </w:tcPr>
          <w:p>
            <w:r>
              <w:rPr>
                <w:rFonts w:ascii="Calibri" w:hAnsi="Calibri"/>
                <w:b/>
                <w:color w:val="E5484D"/>
                <w:sz w:val="22"/>
              </w:rPr>
              <w:t>-2.4%</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$4.40B</w:t>
            </w:r>
          </w:p>
        </w:tc>
        <w:tc>
          <w:tcPr>
            <w:tcW w:type="dxa" w:w="1728"/>
          </w:tcPr>
          <w:p>
            <w:r>
              <w:rPr>
                <w:rFonts w:ascii="Calibri" w:hAnsi="Calibri"/>
                <w:sz w:val="22"/>
              </w:rPr>
              <w:t>$4.28B</w:t>
            </w:r>
          </w:p>
        </w:tc>
        <w:tc>
          <w:tcPr>
            <w:tcW w:type="dxa" w:w="1728"/>
          </w:tcPr>
          <w:p>
            <w:r>
              <w:rPr>
                <w:rFonts w:ascii="Calibri" w:hAnsi="Calibri"/>
                <w:b/>
                <w:color w:val="30A46C"/>
                <w:sz w:val="22"/>
              </w:rPr>
              <w:t>+2.8%</w:t>
            </w:r>
          </w:p>
        </w:tc>
        <w:tc>
          <w:tcPr>
            <w:tcW w:type="dxa" w:w="1728"/>
          </w:tcPr>
          <w:p>
            <w:r>
              <w:rPr>
                <w:rFonts w:ascii="Calibri" w:hAnsi="Calibri"/>
                <w:sz w:val="22"/>
              </w:rPr>
              <w:t>Beat</w:t>
            </w:r>
          </w:p>
        </w:tc>
      </w:tr>
    </w:tbl>
    <w:p>
      <w:pPr>
        <w:pStyle w:val="Heading4"/>
      </w:pPr>
      <w:r>
        <w:rPr>
          <w:rFonts w:ascii="Calibri" w:hAnsi="Calibri"/>
          <w:b/>
          <w:color w:val="3B4259"/>
          <w:sz w:val="22"/>
        </w:rPr>
        <w:t>Adjusted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$2.63</w:t>
            </w:r>
          </w:p>
        </w:tc>
        <w:tc>
          <w:tcPr>
            <w:tcW w:type="dxa" w:w="1728"/>
          </w:tcPr>
          <w:p>
            <w:r>
              <w:rPr>
                <w:rFonts w:ascii="Calibri" w:hAnsi="Calibri"/>
                <w:sz w:val="22"/>
              </w:rPr>
              <w:t>$2.26</w:t>
            </w:r>
          </w:p>
        </w:tc>
        <w:tc>
          <w:tcPr>
            <w:tcW w:type="dxa" w:w="1728"/>
          </w:tcPr>
          <w:p>
            <w:r>
              <w:rPr>
                <w:rFonts w:ascii="Calibri" w:hAnsi="Calibri"/>
                <w:b/>
                <w:color w:val="30A46C"/>
                <w:sz w:val="22"/>
              </w:rPr>
              <w:t>+16.4%</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$2.93</w:t>
            </w:r>
          </w:p>
        </w:tc>
        <w:tc>
          <w:tcPr>
            <w:tcW w:type="dxa" w:w="1728"/>
          </w:tcPr>
          <w:p>
            <w:r>
              <w:rPr>
                <w:rFonts w:ascii="Calibri" w:hAnsi="Calibri"/>
                <w:sz w:val="22"/>
              </w:rPr>
              <w:t>$2.01</w:t>
            </w:r>
          </w:p>
        </w:tc>
        <w:tc>
          <w:tcPr>
            <w:tcW w:type="dxa" w:w="1728"/>
          </w:tcPr>
          <w:p>
            <w:r>
              <w:rPr>
                <w:rFonts w:ascii="Calibri" w:hAnsi="Calibri"/>
                <w:b/>
                <w:color w:val="30A46C"/>
                <w:sz w:val="22"/>
              </w:rPr>
              <w:t>+45.8%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$2.37</w:t>
            </w:r>
          </w:p>
        </w:tc>
        <w:tc>
          <w:tcPr>
            <w:tcW w:type="dxa" w:w="1728"/>
          </w:tcPr>
          <w:p>
            <w:r>
              <w:rPr>
                <w:rFonts w:ascii="Calibri" w:hAnsi="Calibri"/>
                <w:sz w:val="22"/>
              </w:rPr>
              <w:t>$2.24</w:t>
            </w:r>
          </w:p>
        </w:tc>
        <w:tc>
          <w:tcPr>
            <w:tcW w:type="dxa" w:w="1728"/>
          </w:tcPr>
          <w:p>
            <w:r>
              <w:rPr>
                <w:rFonts w:ascii="Calibri" w:hAnsi="Calibri"/>
                <w:b/>
                <w:color w:val="30A46C"/>
                <w:sz w:val="22"/>
              </w:rPr>
              <w:t>+5.8%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$2.97</w:t>
            </w:r>
          </w:p>
        </w:tc>
        <w:tc>
          <w:tcPr>
            <w:tcW w:type="dxa" w:w="1728"/>
          </w:tcPr>
          <w:p>
            <w:r>
              <w:rPr>
                <w:rFonts w:ascii="Calibri" w:hAnsi="Calibri"/>
                <w:sz w:val="22"/>
              </w:rPr>
              <w:t>$2.48</w:t>
            </w:r>
          </w:p>
        </w:tc>
        <w:tc>
          <w:tcPr>
            <w:tcW w:type="dxa" w:w="1728"/>
          </w:tcPr>
          <w:p>
            <w:r>
              <w:rPr>
                <w:rFonts w:ascii="Calibri" w:hAnsi="Calibri"/>
                <w:b/>
                <w:color w:val="30A46C"/>
                <w:sz w:val="22"/>
              </w:rPr>
              <w:t>+19.8%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$3.21</w:t>
            </w:r>
          </w:p>
        </w:tc>
        <w:tc>
          <w:tcPr>
            <w:tcW w:type="dxa" w:w="1728"/>
          </w:tcPr>
          <w:p>
            <w:r>
              <w:rPr>
                <w:rFonts w:ascii="Calibri" w:hAnsi="Calibri"/>
                <w:sz w:val="22"/>
              </w:rPr>
              <w:t>$2.66</w:t>
            </w:r>
          </w:p>
        </w:tc>
        <w:tc>
          <w:tcPr>
            <w:tcW w:type="dxa" w:w="1728"/>
          </w:tcPr>
          <w:p>
            <w:r>
              <w:rPr>
                <w:rFonts w:ascii="Calibri" w:hAnsi="Calibri"/>
                <w:b/>
                <w:color w:val="30A46C"/>
                <w:sz w:val="22"/>
              </w:rPr>
              <w:t>+20.7%</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$3.05</w:t>
            </w:r>
          </w:p>
        </w:tc>
        <w:tc>
          <w:tcPr>
            <w:tcW w:type="dxa" w:w="1728"/>
          </w:tcPr>
          <w:p>
            <w:r>
              <w:rPr>
                <w:rFonts w:ascii="Calibri" w:hAnsi="Calibri"/>
                <w:sz w:val="22"/>
              </w:rPr>
              <w:t>$2.74</w:t>
            </w:r>
          </w:p>
        </w:tc>
        <w:tc>
          <w:tcPr>
            <w:tcW w:type="dxa" w:w="1728"/>
          </w:tcPr>
          <w:p>
            <w:r>
              <w:rPr>
                <w:rFonts w:ascii="Calibri" w:hAnsi="Calibri"/>
                <w:b/>
                <w:color w:val="30A46C"/>
                <w:sz w:val="22"/>
              </w:rPr>
              <w:t>+11.3%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$2.76</w:t>
            </w:r>
          </w:p>
        </w:tc>
        <w:tc>
          <w:tcPr>
            <w:tcW w:type="dxa" w:w="1728"/>
          </w:tcPr>
          <w:p>
            <w:r>
              <w:rPr>
                <w:rFonts w:ascii="Calibri" w:hAnsi="Calibri"/>
                <w:sz w:val="22"/>
              </w:rPr>
              <w:t>$2.60</w:t>
            </w:r>
          </w:p>
        </w:tc>
        <w:tc>
          <w:tcPr>
            <w:tcW w:type="dxa" w:w="1728"/>
          </w:tcPr>
          <w:p>
            <w:r>
              <w:rPr>
                <w:rFonts w:ascii="Calibri" w:hAnsi="Calibri"/>
                <w:b/>
                <w:color w:val="30A46C"/>
                <w:sz w:val="22"/>
              </w:rPr>
              <w:t>+6.2%</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$3.13</w:t>
            </w:r>
          </w:p>
        </w:tc>
        <w:tc>
          <w:tcPr>
            <w:tcW w:type="dxa" w:w="1728"/>
          </w:tcPr>
          <w:p>
            <w:r>
              <w:rPr>
                <w:rFonts w:ascii="Calibri" w:hAnsi="Calibri"/>
                <w:sz w:val="22"/>
              </w:rPr>
              <w:t>$2.90</w:t>
            </w:r>
          </w:p>
        </w:tc>
        <w:tc>
          <w:tcPr>
            <w:tcW w:type="dxa" w:w="1728"/>
          </w:tcPr>
          <w:p>
            <w:r>
              <w:rPr>
                <w:rFonts w:ascii="Calibri" w:hAnsi="Calibri"/>
                <w:b/>
                <w:color w:val="30A46C"/>
                <w:sz w:val="22"/>
              </w:rPr>
              <w:t>+7.9%</w:t>
            </w:r>
          </w:p>
        </w:tc>
        <w:tc>
          <w:tcPr>
            <w:tcW w:type="dxa" w:w="1728"/>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color w:val="525866"/>
          <w:sz w:val="22"/>
        </w:rPr>
        <w:t>LDOS has beaten adjusted operating EPS consensus in all 8 of the last 8 quarters, with an average surprise of ~17%; revenue beats are also consistent (7 of 8 quarters) though smaller in magnitude (~2–3%). The Q4 2025 revenue miss was an anomaly driven by program timing. The strong EPS beat cadence reflects management’s conservative guidance posture, though the bar for Q2 2026 is set against a trough quarter with known headwinds (no insurance reimbursement, higher growth investments), making the beat pattern likely to continue but at a narrower magnitude.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w:t>
      </w:r>
      <w:r>
        <w:rPr>
          <w:rFonts w:ascii="Calibri" w:hAnsi="Calibri"/>
          <w:b/>
          <w:color w:val="525866"/>
          <w:sz w:val="22"/>
        </w:rPr>
        <w:t>raised across all metrics on May 5</w:t>
      </w:r>
      <w:r>
        <w:rPr>
          <w:rFonts w:ascii="Calibri" w:hAnsi="Calibri"/>
          <w:color w:val="525866"/>
          <w:sz w:val="22"/>
        </w:rPr>
        <w:t xml:space="preserve"> following the Q1 beat and ENTRUST close; no post-earnings revisions have been issued since, and management tone remains constructive but measured, explicitly framing Q2 as a trough before an H2 acceleration.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(Feb 2026 / Q4 2025 Call)</w:t>
            </w:r>
          </w:p>
        </w:tc>
        <w:tc>
          <w:tcPr>
            <w:tcW w:type="dxa" w:w="1728"/>
            <w:shd w:val="clear" w:color="auto" w:fill="3B4259"/>
          </w:tcPr>
          <w:p>
            <w:r>
              <w:rPr>
                <w:rFonts w:ascii="Calibri" w:hAnsi="Calibri"/>
                <w:b/>
                <w:color w:val="FFFFFF"/>
                <w:sz w:val="22"/>
              </w:rPr>
              <w:t>Revised Guidance (Q1 2026 Call, May 5,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(FY2026)</w:t>
            </w:r>
          </w:p>
        </w:tc>
        <w:tc>
          <w:tcPr>
            <w:tcW w:type="dxa" w:w="1728"/>
          </w:tcPr>
          <w:p>
            <w:r>
              <w:rPr>
                <w:rFonts w:ascii="Calibri" w:hAnsi="Calibri"/>
                <w:sz w:val="22"/>
              </w:rPr>
              <w:t>$17.50–$17.90B</w:t>
            </w:r>
          </w:p>
        </w:tc>
        <w:tc>
          <w:tcPr>
            <w:tcW w:type="dxa" w:w="1728"/>
          </w:tcPr>
          <w:p>
            <w:r>
              <w:rPr>
                <w:rFonts w:ascii="Calibri" w:hAnsi="Calibri"/>
                <w:sz w:val="22"/>
              </w:rPr>
              <w:t>$18.00–$18.40B</w:t>
            </w:r>
          </w:p>
        </w:tc>
        <w:tc>
          <w:tcPr>
            <w:tcW w:type="dxa" w:w="1728"/>
          </w:tcPr>
          <w:p>
            <w:r>
              <w:rPr>
                <w:rFonts w:ascii="Calibri" w:hAnsi="Calibri"/>
                <w:sz w:val="22"/>
              </w:rPr>
              <w:t>$18.26B</w:t>
            </w:r>
          </w:p>
        </w:tc>
        <w:tc>
          <w:tcPr>
            <w:tcW w:type="dxa" w:w="1728"/>
          </w:tcPr>
          <w:p>
            <w:r>
              <w:rPr>
                <w:rFonts w:ascii="Calibri" w:hAnsi="Calibri"/>
                <w:sz w:val="22"/>
              </w:rPr>
              <w:t>↑ Raised +$500M at Q1 earnings (May 5, 2026); reflects ENTRUST acquisition contribution; organic view largely unchanged</w:t>
            </w:r>
          </w:p>
        </w:tc>
      </w:tr>
      <w:tr>
        <w:tc>
          <w:tcPr>
            <w:tcW w:type="dxa" w:w="1728"/>
          </w:tcPr>
          <w:p>
            <w:r>
              <w:rPr>
                <w:rFonts w:ascii="Calibri" w:hAnsi="Calibri"/>
                <w:sz w:val="22"/>
              </w:rPr>
              <w:t>Adj. EBITDA Margin (FY2026)</w:t>
            </w:r>
          </w:p>
        </w:tc>
        <w:tc>
          <w:tcPr>
            <w:tcW w:type="dxa" w:w="1728"/>
          </w:tcPr>
          <w:p>
            <w:r>
              <w:rPr>
                <w:rFonts w:ascii="Calibri" w:hAnsi="Calibri"/>
                <w:sz w:val="22"/>
              </w:rPr>
              <w:t>Mid-13%</w:t>
            </w:r>
          </w:p>
        </w:tc>
        <w:tc>
          <w:tcPr>
            <w:tcW w:type="dxa" w:w="1728"/>
          </w:tcPr>
          <w:p>
            <w:r>
              <w:rPr>
                <w:rFonts w:ascii="Calibri" w:hAnsi="Calibri"/>
                <w:sz w:val="22"/>
              </w:rPr>
              <w:t>Mid-13% (unchanged)</w:t>
            </w:r>
          </w:p>
        </w:tc>
        <w:tc>
          <w:tcPr>
            <w:tcW w:type="dxa" w:w="1728"/>
          </w:tcPr>
          <w:p>
            <w:r>
              <w:rPr>
                <w:rFonts w:ascii="Calibri" w:hAnsi="Calibri"/>
                <w:sz w:val="22"/>
              </w:rPr>
              <w:t>~13.6%</w:t>
            </w:r>
          </w:p>
        </w:tc>
        <w:tc>
          <w:tcPr>
            <w:tcW w:type="dxa" w:w="1728"/>
          </w:tcPr>
          <w:p>
            <w:r>
              <w:rPr>
                <w:rFonts w:ascii="Calibri" w:hAnsi="Calibri"/>
                <w:sz w:val="22"/>
              </w:rPr>
              <w:t>Unchanged; management maintained margin guidance despite ENTRUST dilution, signaling confidence in cost management</w:t>
            </w:r>
          </w:p>
        </w:tc>
      </w:tr>
      <w:tr>
        <w:tc>
          <w:tcPr>
            <w:tcW w:type="dxa" w:w="1728"/>
          </w:tcPr>
          <w:p>
            <w:r>
              <w:rPr>
                <w:rFonts w:ascii="Calibri" w:hAnsi="Calibri"/>
                <w:sz w:val="22"/>
              </w:rPr>
              <w:t>Non-GAAP Diluted EPS (FY2026)</w:t>
            </w:r>
          </w:p>
        </w:tc>
        <w:tc>
          <w:tcPr>
            <w:tcW w:type="dxa" w:w="1728"/>
          </w:tcPr>
          <w:p>
            <w:r>
              <w:rPr>
                <w:rFonts w:ascii="Calibri" w:hAnsi="Calibri"/>
                <w:sz w:val="22"/>
              </w:rPr>
              <w:t>$12.05–$12.45</w:t>
            </w:r>
          </w:p>
        </w:tc>
        <w:tc>
          <w:tcPr>
            <w:tcW w:type="dxa" w:w="1728"/>
          </w:tcPr>
          <w:p>
            <w:r>
              <w:rPr>
                <w:rFonts w:ascii="Calibri" w:hAnsi="Calibri"/>
                <w:sz w:val="22"/>
              </w:rPr>
              <w:t>$12.10–$12.50</w:t>
            </w:r>
          </w:p>
        </w:tc>
        <w:tc>
          <w:tcPr>
            <w:tcW w:type="dxa" w:w="1728"/>
          </w:tcPr>
          <w:p>
            <w:r>
              <w:rPr>
                <w:rFonts w:ascii="Calibri" w:hAnsi="Calibri"/>
                <w:sz w:val="22"/>
              </w:rPr>
              <w:t>$12.31</w:t>
            </w:r>
          </w:p>
        </w:tc>
        <w:tc>
          <w:tcPr>
            <w:tcW w:type="dxa" w:w="1728"/>
          </w:tcPr>
          <w:p>
            <w:r>
              <w:rPr>
                <w:rFonts w:ascii="Calibri" w:hAnsi="Calibri"/>
                <w:sz w:val="22"/>
              </w:rPr>
              <w:t>↑ Raised +$0.05 midpoint at Q1 earnings; ENTRUST immediately accretive; substantially more accretion expected in 2027+</w:t>
            </w:r>
          </w:p>
        </w:tc>
      </w:tr>
      <w:tr>
        <w:tc>
          <w:tcPr>
            <w:tcW w:type="dxa" w:w="1728"/>
          </w:tcPr>
          <w:p>
            <w:r>
              <w:rPr>
                <w:rFonts w:ascii="Calibri" w:hAnsi="Calibri"/>
                <w:sz w:val="22"/>
              </w:rPr>
              <w:t>Operating Cash Flow (FY2026)</w:t>
            </w:r>
          </w:p>
        </w:tc>
        <w:tc>
          <w:tcPr>
            <w:tcW w:type="dxa" w:w="1728"/>
          </w:tcPr>
          <w:p>
            <w:r>
              <w:rPr>
                <w:rFonts w:ascii="Calibri" w:hAnsi="Calibri"/>
                <w:sz w:val="22"/>
              </w:rPr>
              <w:t>~$1.75B</w:t>
            </w:r>
          </w:p>
        </w:tc>
        <w:tc>
          <w:tcPr>
            <w:tcW w:type="dxa" w:w="1728"/>
          </w:tcPr>
          <w:p>
            <w:r>
              <w:rPr>
                <w:rFonts w:ascii="Calibri" w:hAnsi="Calibri"/>
                <w:sz w:val="22"/>
              </w:rPr>
              <w:t>~$1.80B</w:t>
            </w:r>
          </w:p>
        </w:tc>
        <w:tc>
          <w:tcPr>
            <w:tcW w:type="dxa" w:w="1728"/>
          </w:tcPr>
          <w:p>
            <w:r>
              <w:rPr>
                <w:rFonts w:ascii="Calibri" w:hAnsi="Calibri"/>
                <w:sz w:val="22"/>
              </w:rPr>
              <w:t>N/A</w:t>
            </w:r>
          </w:p>
        </w:tc>
        <w:tc>
          <w:tcPr>
            <w:tcW w:type="dxa" w:w="1728"/>
          </w:tcPr>
          <w:p>
            <w:r>
              <w:rPr>
                <w:rFonts w:ascii="Calibri" w:hAnsi="Calibri"/>
                <w:sz w:val="22"/>
              </w:rPr>
              <w:t>↑ Raised +$50M at Q1 earnings; reflects ENTRUST cash generation and strong Q1 free cash flow of $270M</w:t>
            </w:r>
          </w:p>
        </w:tc>
      </w:tr>
      <w:tr>
        <w:tc>
          <w:tcPr>
            <w:tcW w:type="dxa" w:w="1728"/>
          </w:tcPr>
          <w:p>
            <w:r>
              <w:rPr>
                <w:rFonts w:ascii="Calibri" w:hAnsi="Calibri"/>
                <w:sz w:val="22"/>
              </w:rPr>
              <w:t>Q2 2026 Revenue (Qualitative)</w:t>
            </w:r>
          </w:p>
        </w:tc>
        <w:tc>
          <w:tcPr>
            <w:tcW w:type="dxa" w:w="1728"/>
          </w:tcPr>
          <w:p>
            <w:r>
              <w:rPr>
                <w:rFonts w:ascii="Calibri" w:hAnsi="Calibri"/>
                <w:sz w:val="22"/>
              </w:rPr>
              <w:t>N/A (no Q2 guidance given at Q4 call)</w:t>
            </w:r>
          </w:p>
        </w:tc>
        <w:tc>
          <w:tcPr>
            <w:tcW w:type="dxa" w:w="1728"/>
          </w:tcPr>
          <w:p>
            <w:r>
              <w:rPr>
                <w:rFonts w:ascii="Calibri" w:hAnsi="Calibri"/>
                <w:sz w:val="22"/>
              </w:rPr>
              <w:t>“Likely low point in revenue growth and margin”; “more similar to Q1, maybe a small step down”</w:t>
            </w:r>
          </w:p>
        </w:tc>
        <w:tc>
          <w:tcPr>
            <w:tcW w:type="dxa" w:w="1728"/>
          </w:tcPr>
          <w:p>
            <w:r>
              <w:rPr>
                <w:rFonts w:ascii="Calibri" w:hAnsi="Calibri"/>
                <w:sz w:val="22"/>
              </w:rPr>
              <w:t>$4.44B consensus</w:t>
            </w:r>
          </w:p>
        </w:tc>
        <w:tc>
          <w:tcPr>
            <w:tcW w:type="dxa" w:w="1728"/>
          </w:tcPr>
          <w:p>
            <w:r>
              <w:rPr>
                <w:rFonts w:ascii="Calibri" w:hAnsi="Calibri"/>
                <w:sz w:val="22"/>
              </w:rPr>
              <w:t>Management explicitly flagged Q2 as trough; Q1 outperformance characterized as pull-forward from Q2</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drifted </w:t>
      </w:r>
      <w:r>
        <w:rPr>
          <w:rFonts w:ascii="Calibri" w:hAnsi="Calibri"/>
          <w:b/>
          <w:color w:val="525866"/>
          <w:sz w:val="22"/>
        </w:rPr>
        <w:t>modestly higher</w:t>
      </w:r>
      <w:r>
        <w:rPr>
          <w:rFonts w:ascii="Calibri" w:hAnsi="Calibri"/>
          <w:color w:val="525866"/>
          <w:sz w:val="22"/>
        </w:rPr>
        <w:t xml:space="preserve"> since the Q1 print (+0.4% revenue, +2.1% EPS), tracking the ENTRUST contribution; FY2026 estimates are essentially flat, suggesting the street has absorbed the guidance raise without adding incremental optimism — a </w:t>
      </w:r>
      <w:r>
        <w:rPr>
          <w:rFonts w:ascii="Calibri" w:hAnsi="Calibri"/>
          <w:b/>
          <w:color w:val="525866"/>
          <w:sz w:val="22"/>
        </w:rPr>
        <w:t>balanced setup</w:t>
      </w:r>
      <w:r>
        <w:rPr>
          <w:rFonts w:ascii="Calibri" w:hAnsi="Calibri"/>
          <w:color w:val="525866"/>
          <w:sz w:val="22"/>
        </w:rPr>
        <w:t xml:space="preserve"> with no meaningful estimate risk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12, 2026 — ~5 Days Post Q1 Print)</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$4.427B</w:t>
            </w:r>
          </w:p>
        </w:tc>
        <w:tc>
          <w:tcPr>
            <w:tcW w:type="dxa" w:w="1080"/>
          </w:tcPr>
          <w:p>
            <w:r>
              <w:rPr>
                <w:rFonts w:ascii="Calibri" w:hAnsi="Calibri"/>
                <w:sz w:val="22"/>
              </w:rPr>
              <w:t>$4.444B</w:t>
            </w:r>
          </w:p>
        </w:tc>
        <w:tc>
          <w:tcPr>
            <w:tcW w:type="dxa" w:w="1080"/>
          </w:tcPr>
          <w:p>
            <w:r>
              <w:rPr>
                <w:rFonts w:ascii="Calibri" w:hAnsi="Calibri"/>
                <w:sz w:val="22"/>
              </w:rPr>
              <w:t>+0.4%</w:t>
            </w:r>
          </w:p>
        </w:tc>
        <w:tc>
          <w:tcPr>
            <w:tcW w:type="dxa" w:w="1080"/>
          </w:tcPr>
          <w:p>
            <w:r>
              <w:rPr>
                <w:rFonts w:ascii="Calibri" w:hAnsi="Calibri"/>
                <w:sz w:val="22"/>
              </w:rPr>
              <w:t>Trough framing; no explicit Q2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$18.257B</w:t>
            </w:r>
          </w:p>
        </w:tc>
        <w:tc>
          <w:tcPr>
            <w:tcW w:type="dxa" w:w="1080"/>
          </w:tcPr>
          <w:p>
            <w:r>
              <w:rPr>
                <w:rFonts w:ascii="Calibri" w:hAnsi="Calibri"/>
                <w:sz w:val="22"/>
              </w:rPr>
              <w:t>$18.255B</w:t>
            </w:r>
          </w:p>
        </w:tc>
        <w:tc>
          <w:tcPr>
            <w:tcW w:type="dxa" w:w="1080"/>
          </w:tcPr>
          <w:p>
            <w:r>
              <w:rPr>
                <w:rFonts w:ascii="Calibri" w:hAnsi="Calibri"/>
                <w:sz w:val="22"/>
              </w:rPr>
              <w:t>0.0%</w:t>
            </w:r>
          </w:p>
        </w:tc>
        <w:tc>
          <w:tcPr>
            <w:tcW w:type="dxa" w:w="1080"/>
          </w:tcPr>
          <w:p>
            <w:r>
              <w:rPr>
                <w:rFonts w:ascii="Calibri" w:hAnsi="Calibri"/>
                <w:sz w:val="22"/>
              </w:rPr>
              <w:t>$17.50–$17.90B</w:t>
            </w:r>
          </w:p>
        </w:tc>
        <w:tc>
          <w:tcPr>
            <w:tcW w:type="dxa" w:w="1080"/>
          </w:tcPr>
          <w:p>
            <w:r>
              <w:rPr>
                <w:rFonts w:ascii="Calibri" w:hAnsi="Calibri"/>
                <w:sz w:val="22"/>
              </w:rPr>
              <w:t>$18.00–$18.40B</w:t>
            </w:r>
          </w:p>
        </w:tc>
        <w:tc>
          <w:tcPr>
            <w:tcW w:type="dxa" w:w="1080"/>
          </w:tcPr>
          <w:p>
            <w:r>
              <w:rPr>
                <w:rFonts w:ascii="Calibri" w:hAnsi="Calibri"/>
                <w:sz w:val="22"/>
              </w:rPr>
              <w:t>+$500M midpoint</w:t>
            </w:r>
          </w:p>
        </w:tc>
        <w:tc>
          <w:tcPr>
            <w:tcW w:type="dxa" w:w="1080"/>
          </w:tcPr>
          <w:p>
            <w:r>
              <w:rPr>
                <w:rFonts w:ascii="Calibri" w:hAnsi="Calibri"/>
                <w:sz w:val="22"/>
              </w:rPr>
              <w:t>+0.3% above $18.20B mid</w:t>
            </w:r>
          </w:p>
        </w:tc>
      </w:tr>
      <w:tr>
        <w:tc>
          <w:tcPr>
            <w:tcW w:type="dxa" w:w="1080"/>
          </w:tcPr>
          <w:p>
            <w:r>
              <w:rPr>
                <w:rFonts w:ascii="Calibri" w:hAnsi="Calibri"/>
                <w:sz w:val="22"/>
              </w:rPr>
              <w:t>Adj. Operating EPS — Q2 2026</w:t>
            </w:r>
          </w:p>
        </w:tc>
        <w:tc>
          <w:tcPr>
            <w:tcW w:type="dxa" w:w="1080"/>
          </w:tcPr>
          <w:p>
            <w:r>
              <w:rPr>
                <w:rFonts w:ascii="Calibri" w:hAnsi="Calibri"/>
                <w:sz w:val="22"/>
              </w:rPr>
              <w:t>$2.845</w:t>
            </w:r>
          </w:p>
        </w:tc>
        <w:tc>
          <w:tcPr>
            <w:tcW w:type="dxa" w:w="1080"/>
          </w:tcPr>
          <w:p>
            <w:r>
              <w:rPr>
                <w:rFonts w:ascii="Calibri" w:hAnsi="Calibri"/>
                <w:sz w:val="22"/>
              </w:rPr>
              <w:t>$2.905</w:t>
            </w:r>
          </w:p>
        </w:tc>
        <w:tc>
          <w:tcPr>
            <w:tcW w:type="dxa" w:w="1080"/>
          </w:tcPr>
          <w:p>
            <w:r>
              <w:rPr>
                <w:rFonts w:ascii="Calibri" w:hAnsi="Calibri"/>
                <w:sz w:val="22"/>
              </w:rPr>
              <w:t>+2.1%</w:t>
            </w:r>
          </w:p>
        </w:tc>
        <w:tc>
          <w:tcPr>
            <w:tcW w:type="dxa" w:w="1080"/>
          </w:tcPr>
          <w:p>
            <w:r>
              <w:rPr>
                <w:rFonts w:ascii="Calibri" w:hAnsi="Calibri"/>
                <w:sz w:val="22"/>
              </w:rPr>
              <w:t>No explicit Q2 EPS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FY2026</w:t>
            </w:r>
          </w:p>
        </w:tc>
        <w:tc>
          <w:tcPr>
            <w:tcW w:type="dxa" w:w="1080"/>
          </w:tcPr>
          <w:p>
            <w:r>
              <w:rPr>
                <w:rFonts w:ascii="Calibri" w:hAnsi="Calibri"/>
                <w:sz w:val="22"/>
              </w:rPr>
              <w:t>$12.315</w:t>
            </w:r>
          </w:p>
        </w:tc>
        <w:tc>
          <w:tcPr>
            <w:tcW w:type="dxa" w:w="1080"/>
          </w:tcPr>
          <w:p>
            <w:r>
              <w:rPr>
                <w:rFonts w:ascii="Calibri" w:hAnsi="Calibri"/>
                <w:sz w:val="22"/>
              </w:rPr>
              <w:t>$12.314</w:t>
            </w:r>
          </w:p>
        </w:tc>
        <w:tc>
          <w:tcPr>
            <w:tcW w:type="dxa" w:w="1080"/>
          </w:tcPr>
          <w:p>
            <w:r>
              <w:rPr>
                <w:rFonts w:ascii="Calibri" w:hAnsi="Calibri"/>
                <w:sz w:val="22"/>
              </w:rPr>
              <w:t>0.0%</w:t>
            </w:r>
          </w:p>
        </w:tc>
        <w:tc>
          <w:tcPr>
            <w:tcW w:type="dxa" w:w="1080"/>
          </w:tcPr>
          <w:p>
            <w:r>
              <w:rPr>
                <w:rFonts w:ascii="Calibri" w:hAnsi="Calibri"/>
                <w:sz w:val="22"/>
              </w:rPr>
              <w:t>$12.05–$12.45</w:t>
            </w:r>
          </w:p>
        </w:tc>
        <w:tc>
          <w:tcPr>
            <w:tcW w:type="dxa" w:w="1080"/>
          </w:tcPr>
          <w:p>
            <w:r>
              <w:rPr>
                <w:rFonts w:ascii="Calibri" w:hAnsi="Calibri"/>
                <w:sz w:val="22"/>
              </w:rPr>
              <w:t>$12.10–$12.50</w:t>
            </w:r>
          </w:p>
        </w:tc>
        <w:tc>
          <w:tcPr>
            <w:tcW w:type="dxa" w:w="1080"/>
          </w:tcPr>
          <w:p>
            <w:r>
              <w:rPr>
                <w:rFonts w:ascii="Calibri" w:hAnsi="Calibri"/>
                <w:sz w:val="22"/>
              </w:rPr>
              <w:t>+$0.05 midpoint</w:t>
            </w:r>
          </w:p>
        </w:tc>
        <w:tc>
          <w:tcPr>
            <w:tcW w:type="dxa" w:w="1080"/>
          </w:tcPr>
          <w:p>
            <w:r>
              <w:rPr>
                <w:rFonts w:ascii="Calibri" w:hAnsi="Calibri"/>
                <w:sz w:val="22"/>
              </w:rPr>
              <w:t>+0.1% above $12.30 mid</w:t>
            </w:r>
          </w:p>
        </w:tc>
      </w:tr>
      <w:tr>
        <w:tc>
          <w:tcPr>
            <w:tcW w:type="dxa" w:w="1080"/>
          </w:tcPr>
          <w:p>
            <w:r>
              <w:rPr>
                <w:rFonts w:ascii="Calibri" w:hAnsi="Calibri"/>
                <w:sz w:val="22"/>
              </w:rPr>
              <w:t>Adj. EBITDA — Q2 2026</w:t>
            </w:r>
          </w:p>
        </w:tc>
        <w:tc>
          <w:tcPr>
            <w:tcW w:type="dxa" w:w="1080"/>
          </w:tcPr>
          <w:p>
            <w:r>
              <w:rPr>
                <w:rFonts w:ascii="Calibri" w:hAnsi="Calibri"/>
                <w:sz w:val="22"/>
              </w:rPr>
              <w:t>$591.8M</w:t>
            </w:r>
          </w:p>
        </w:tc>
        <w:tc>
          <w:tcPr>
            <w:tcW w:type="dxa" w:w="1080"/>
          </w:tcPr>
          <w:p>
            <w:r>
              <w:rPr>
                <w:rFonts w:ascii="Calibri" w:hAnsi="Calibri"/>
                <w:sz w:val="22"/>
              </w:rPr>
              <w:t>$597.7M</w:t>
            </w:r>
          </w:p>
        </w:tc>
        <w:tc>
          <w:tcPr>
            <w:tcW w:type="dxa" w:w="1080"/>
          </w:tcPr>
          <w:p>
            <w:r>
              <w:rPr>
                <w:rFonts w:ascii="Calibri" w:hAnsi="Calibri"/>
                <w:sz w:val="22"/>
              </w:rPr>
              <w:t>+1.0%</w:t>
            </w:r>
          </w:p>
        </w:tc>
        <w:tc>
          <w:tcPr>
            <w:tcW w:type="dxa" w:w="1080"/>
          </w:tcPr>
          <w:p>
            <w:r>
              <w:rPr>
                <w:rFonts w:ascii="Calibri" w:hAnsi="Calibri"/>
                <w:sz w:val="22"/>
              </w:rPr>
              <w:t>Mid-13% margin (FY)</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~13.5% implied Q2 margin</w:t>
            </w:r>
          </w:p>
        </w:tc>
      </w:tr>
    </w:tbl>
    <w:p>
      <w:r>
        <w:rPr>
          <w:rFonts w:ascii="Calibri" w:hAnsi="Calibri"/>
          <w:i/>
          <w:color w:val="525866"/>
          <w:sz w:val="22"/>
        </w:rPr>
        <w:t xml:space="preserve">Source: Visible Alpha Consensus and Actuals Data. </w:t>
      </w:r>
      <w:r>
        <w:rPr>
          <w:rFonts w:ascii="Calibri" w:hAnsi="Calibri"/>
          <w:color w:val="525866"/>
          <w:sz w:val="22"/>
        </w:rPr>
        <w:t>The revision trajectory is notably stable — Q2 EPS estimates drifted up ~2% in the weeks immediately after the Q1 print as analysts incorporated ENTRUST accretion, then plateaued. FY2026 estimates are essentially unchanged from the post-Q1 baseline, suggesting the street has fully absorbed the guidance raise and is not adding incremental optimism. This creates a balanced setup: no meaningful downward revision risk, but also limited room for a positive estimate surprise unless management raises FY guidance again on the Q2 call.</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LDOS has dramatically </w:t>
      </w:r>
      <w:r>
        <w:rPr>
          <w:rFonts w:ascii="Calibri" w:hAnsi="Calibri"/>
          <w:b/>
          <w:color w:val="525866"/>
          <w:sz w:val="22"/>
        </w:rPr>
        <w:t>underperformed ITA and the S&amp;P 500</w:t>
      </w:r>
      <w:r>
        <w:rPr>
          <w:rFonts w:ascii="Calibri" w:hAnsi="Calibri"/>
          <w:color w:val="525866"/>
          <w:sz w:val="22"/>
        </w:rPr>
        <w:t xml:space="preserve"> since the Q1 print — down ~16% vs. ITA +11% and SPY +3% — driven almost entirely by </w:t>
      </w:r>
      <w:r>
        <w:rPr>
          <w:rFonts w:ascii="Calibri" w:hAnsi="Calibri"/>
          <w:b/>
          <w:color w:val="525866"/>
          <w:sz w:val="22"/>
        </w:rPr>
        <w:t>multiple compression</w:t>
      </w:r>
      <w:r>
        <w:rPr>
          <w:rFonts w:ascii="Calibri" w:hAnsi="Calibri"/>
          <w:color w:val="525866"/>
          <w:sz w:val="22"/>
        </w:rPr>
        <w:t xml:space="preserve"> (EV/EBITDA from ~11.3x to ~8.0x over six months) rather than estimate cuts, suggesting the de-rating reflects macro/sentiment headwinds and sector rotation rather than fundamental deterioration; at current levels, the stock appears to have priced in the trough quarter.</w:t>
      </w:r>
    </w:p>
    <w:p>
      <w:r>
        <w:rPr>
          <w:rFonts w:ascii="Calibri" w:hAnsi="Calibri"/>
          <w:color w:val="525866"/>
          <w:sz w:val="22"/>
        </w:rPr>
        <w:t>The chart below shows LDOS, ITA (iShares U.S. Aerospace &amp; Defense ETF), and SPY (S&amp;P 500 ETF) indexed to 100 at the Q1 2026 earnings date (May 5, 2026), through July 31, 2026 (last trading close before the August 3 preparation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Ticker</w:t>
            </w:r>
          </w:p>
        </w:tc>
        <w:tc>
          <w:tcPr>
            <w:tcW w:type="dxa" w:w="2160"/>
            <w:shd w:val="clear" w:color="auto" w:fill="3B4259"/>
          </w:tcPr>
          <w:p>
            <w:r>
              <w:rPr>
                <w:rFonts w:ascii="Calibri" w:hAnsi="Calibri"/>
                <w:b/>
                <w:color w:val="FFFFFF"/>
                <w:sz w:val="22"/>
              </w:rPr>
              <w:t>May 5, 2026 (Base)</w:t>
            </w:r>
          </w:p>
        </w:tc>
        <w:tc>
          <w:tcPr>
            <w:tcW w:type="dxa" w:w="2160"/>
            <w:shd w:val="clear" w:color="auto" w:fill="3B4259"/>
          </w:tcPr>
          <w:p>
            <w:r>
              <w:rPr>
                <w:rFonts w:ascii="Calibri" w:hAnsi="Calibri"/>
                <w:b/>
                <w:color w:val="FFFFFF"/>
                <w:sz w:val="22"/>
              </w:rPr>
              <w:t>July 31, 2026 (Last Close)</w:t>
            </w:r>
          </w:p>
        </w:tc>
        <w:tc>
          <w:tcPr>
            <w:tcW w:type="dxa" w:w="2160"/>
            <w:shd w:val="clear" w:color="auto" w:fill="3B4259"/>
          </w:tcPr>
          <w:p>
            <w:r>
              <w:rPr>
                <w:rFonts w:ascii="Calibri" w:hAnsi="Calibri"/>
                <w:b/>
                <w:color w:val="FFFFFF"/>
                <w:sz w:val="22"/>
              </w:rPr>
              <w:t>Return Since Q1 Print</w:t>
            </w:r>
          </w:p>
        </w:tc>
      </w:tr>
      <w:tr>
        <w:tc>
          <w:tcPr>
            <w:tcW w:type="dxa" w:w="2160"/>
          </w:tcPr>
          <w:p>
            <w:r>
              <w:rPr>
                <w:rFonts w:ascii="Calibri" w:hAnsi="Calibri"/>
                <w:sz w:val="22"/>
              </w:rPr>
              <w:t>LDOS</w:t>
            </w:r>
          </w:p>
        </w:tc>
        <w:tc>
          <w:tcPr>
            <w:tcW w:type="dxa" w:w="2160"/>
          </w:tcPr>
          <w:p>
            <w:r>
              <w:rPr>
                <w:rFonts w:ascii="Calibri" w:hAnsi="Calibri"/>
                <w:sz w:val="22"/>
              </w:rPr>
              <w:t>$137.19</w:t>
            </w:r>
          </w:p>
        </w:tc>
        <w:tc>
          <w:tcPr>
            <w:tcW w:type="dxa" w:w="2160"/>
          </w:tcPr>
          <w:p>
            <w:r>
              <w:rPr>
                <w:rFonts w:ascii="Calibri" w:hAnsi="Calibri"/>
                <w:sz w:val="22"/>
              </w:rPr>
              <w:t>$115.60</w:t>
            </w:r>
          </w:p>
        </w:tc>
        <w:tc>
          <w:tcPr>
            <w:tcW w:type="dxa" w:w="2160"/>
          </w:tcPr>
          <w:p>
            <w:r>
              <w:rPr>
                <w:rFonts w:ascii="Calibri" w:hAnsi="Calibri"/>
                <w:b/>
                <w:color w:val="E5484D"/>
                <w:sz w:val="22"/>
              </w:rPr>
              <w:t>-15.7%</w:t>
            </w:r>
          </w:p>
        </w:tc>
      </w:tr>
      <w:tr>
        <w:tc>
          <w:tcPr>
            <w:tcW w:type="dxa" w:w="2160"/>
          </w:tcPr>
          <w:p>
            <w:r>
              <w:rPr>
                <w:rFonts w:ascii="Calibri" w:hAnsi="Calibri"/>
                <w:sz w:val="22"/>
              </w:rPr>
              <w:t>ITA (Aerospace &amp; Defense ETF)</w:t>
            </w:r>
          </w:p>
        </w:tc>
        <w:tc>
          <w:tcPr>
            <w:tcW w:type="dxa" w:w="2160"/>
          </w:tcPr>
          <w:p>
            <w:r>
              <w:rPr>
                <w:rFonts w:ascii="Calibri" w:hAnsi="Calibri"/>
                <w:sz w:val="22"/>
              </w:rPr>
              <w:t>$215.37</w:t>
            </w:r>
          </w:p>
        </w:tc>
        <w:tc>
          <w:tcPr>
            <w:tcW w:type="dxa" w:w="2160"/>
          </w:tcPr>
          <w:p>
            <w:r>
              <w:rPr>
                <w:rFonts w:ascii="Calibri" w:hAnsi="Calibri"/>
                <w:sz w:val="22"/>
              </w:rPr>
              <w:t>$239.66</w:t>
            </w:r>
          </w:p>
        </w:tc>
        <w:tc>
          <w:tcPr>
            <w:tcW w:type="dxa" w:w="2160"/>
          </w:tcPr>
          <w:p>
            <w:r>
              <w:rPr>
                <w:rFonts w:ascii="Calibri" w:hAnsi="Calibri"/>
                <w:b/>
                <w:color w:val="30A46C"/>
                <w:sz w:val="22"/>
              </w:rPr>
              <w:t>+11.3%</w:t>
            </w:r>
          </w:p>
        </w:tc>
      </w:tr>
      <w:tr>
        <w:tc>
          <w:tcPr>
            <w:tcW w:type="dxa" w:w="2160"/>
          </w:tcPr>
          <w:p>
            <w:r>
              <w:rPr>
                <w:rFonts w:ascii="Calibri" w:hAnsi="Calibri"/>
                <w:sz w:val="22"/>
              </w:rPr>
              <w:t>SPY (S&amp;P 500 ETF)</w:t>
            </w:r>
          </w:p>
        </w:tc>
        <w:tc>
          <w:tcPr>
            <w:tcW w:type="dxa" w:w="2160"/>
          </w:tcPr>
          <w:p>
            <w:r>
              <w:rPr>
                <w:rFonts w:ascii="Calibri" w:hAnsi="Calibri"/>
                <w:sz w:val="22"/>
              </w:rPr>
              <w:t>$723.77</w:t>
            </w:r>
          </w:p>
        </w:tc>
        <w:tc>
          <w:tcPr>
            <w:tcW w:type="dxa" w:w="2160"/>
          </w:tcPr>
          <w:p>
            <w:r>
              <w:rPr>
                <w:rFonts w:ascii="Calibri" w:hAnsi="Calibri"/>
                <w:sz w:val="22"/>
              </w:rPr>
              <w:t>$747.03</w:t>
            </w:r>
          </w:p>
        </w:tc>
        <w:tc>
          <w:tcPr>
            <w:tcW w:type="dxa" w:w="2160"/>
          </w:tcPr>
          <w:p>
            <w:r>
              <w:rPr>
                <w:rFonts w:ascii="Calibri" w:hAnsi="Calibri"/>
                <w:b/>
                <w:color w:val="30A46C"/>
                <w:sz w:val="22"/>
              </w:rPr>
              <w:t>+3.2%</w:t>
            </w:r>
          </w:p>
        </w:tc>
      </w:tr>
    </w:tbl>
    <w:p>
      <w:r>
        <w:rPr>
          <w:rFonts w:ascii="Calibri" w:hAnsi="Calibri"/>
          <w:i/>
          <w:color w:val="525866"/>
          <w:sz w:val="22"/>
        </w:rPr>
        <w:t xml:space="preserve">Source: Yahoo Finance / Stock Price Data. </w:t>
      </w:r>
      <w:r>
        <w:rPr>
          <w:rFonts w:ascii="Calibri" w:hAnsi="Calibri"/>
          <w:color w:val="525866"/>
          <w:sz w:val="22"/>
        </w:rPr>
        <w:t>Key events during the period: (1) May 5, 2026 — Q1 2026 earnings beat; guidance raised; management flagged Q2 as trough. Stock opened higher but gave back gains as investors focused on the pull-forward commentary. (2) Mid-June 2026 — LDOS accelerated its underperformance vs. ITA, falling to ~$107 while ITA continued to rally, reflecting sector rotation into pure-play defense names with higher product/munitions exposure. (3) Late June 2026 — LDOS touched a low near $100, representing a ~27% drawdown from the Q1 print date. (4) July 2026 — partial recovery to ~$115 as BAH’s strong Q1 FY2027 print (July 24) provided a positive read-through for the government IT/defense services sector. The stock’s sharp underperformance vs. ITA is notable given LDOS’s improving defense product mix; the gap likely reflects the market’s preference for pure-play defense hardware names over diversified government services contractors in the current environment.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SES/Analogic JV pending close</w:t>
      </w:r>
      <w:r>
        <w:rPr>
          <w:rFonts w:ascii="Calibri" w:hAnsi="Calibri"/>
          <w:color w:val="525866"/>
          <w:sz w:val="22"/>
        </w:rPr>
        <w:t xml:space="preserve"> (expected H2 2026), which will remove SES revenue from the consolidated P&amp;L and shift Leidos’s ~40% share of JV net income to equity method income — a structural portfolio simplification that investors should model carefully for Q3+.</w:t>
      </w:r>
    </w:p>
    <w:p>
      <w:pPr>
        <w:pStyle w:val="ListBullet"/>
        <w:ind w:left="360" w:hanging="360"/>
      </w:pPr>
      <w:r>
        <w:rPr>
          <w:rFonts w:ascii="Calibri" w:hAnsi="Calibri"/>
          <w:b/>
          <w:color w:val="525866"/>
          <w:sz w:val="22"/>
        </w:rPr>
        <w:t>May 5, 2026 — Q1 2026 Earnings Beat &amp; Guidance Raise:</w:t>
      </w:r>
      <w:r>
        <w:rPr>
          <w:rFonts w:ascii="Calibri" w:hAnsi="Calibri"/>
          <w:color w:val="525866"/>
          <w:sz w:val="22"/>
        </w:rPr>
        <w:t xml:space="preserve"> Revenue of $4.40B (+4% YoY) and non-GAAP EPS of $3.13 (+5% YoY) both beat consensus. FY2026 guidance raised: revenue to $18.00–$18.40B (+$500M), EPS to $12.10–$12.50 (+$0.05 midpoint), operating cash flow to ~$1.80B (+$50M). Management flagged Q2 as the trough quarter. </w:t>
      </w:r>
    </w:p>
    <w:p>
      <w:pPr>
        <w:pStyle w:val="ListBullet"/>
        <w:ind w:left="360" w:hanging="360"/>
      </w:pPr>
      <w:r>
        <w:rPr>
          <w:rFonts w:ascii="Calibri" w:hAnsi="Calibri"/>
          <w:b/>
          <w:color w:val="525866"/>
          <w:sz w:val="22"/>
        </w:rPr>
        <w:t>May 5, 2026 — ENTRUST Acquisition Integration Update:</w:t>
      </w:r>
      <w:r>
        <w:rPr>
          <w:rFonts w:ascii="Calibri" w:hAnsi="Calibri"/>
          <w:color w:val="525866"/>
          <w:sz w:val="22"/>
        </w:rPr>
        <w:t xml:space="preserve"> Integration of the $2.4B ENTRUST Solutions Group acquisition (closed March 2026) confirmed ahead of schedule. Cultural alignment described as seamless; financial upside already surfacing. ENTRUST contributed $371M to Homeland segment backlog. First energy generation plant RFP received and selected for detailed design of Canada’s largest battery electrical storage facility as a direct result of combined capabilities. </w:t>
      </w:r>
    </w:p>
    <w:p>
      <w:pPr>
        <w:pStyle w:val="ListBullet"/>
        <w:ind w:left="360" w:hanging="360"/>
      </w:pPr>
      <w:r>
        <w:rPr>
          <w:rFonts w:ascii="Calibri" w:hAnsi="Calibri"/>
          <w:b/>
          <w:color w:val="525866"/>
          <w:sz w:val="22"/>
        </w:rPr>
        <w:t>May 5, 2026 — SES/Analogic Joint Venture Announced:</w:t>
      </w:r>
      <w:r>
        <w:rPr>
          <w:rFonts w:ascii="Calibri" w:hAnsi="Calibri"/>
          <w:color w:val="525866"/>
          <w:sz w:val="22"/>
        </w:rPr>
        <w:t xml:space="preserve"> Leidos announced intent to contribute its Security Enterprise Solutions (SES) and Industrial Automation businesses into a JV with Analogic (Altaris-backed). Leidos retains ~40% minority stake. JV expected to close H2 2026. Upon close, SES revenue exits the consolidated P&amp;L; Leidos’s ~40% share of JV net income reflected as equity method income within operating income. Until close, SES assets appear as held-for-sale on the balance sheet with no income statement impact. </w:t>
      </w:r>
    </w:p>
    <w:p>
      <w:pPr>
        <w:pStyle w:val="ListBullet"/>
        <w:ind w:left="360" w:hanging="360"/>
      </w:pPr>
      <w:r>
        <w:rPr>
          <w:rFonts w:ascii="Calibri" w:hAnsi="Calibri"/>
          <w:b/>
          <w:color w:val="525866"/>
          <w:sz w:val="22"/>
        </w:rPr>
        <w:t>May 5, 2026 — $100M PE Venture Investment Commitment:</w:t>
      </w:r>
      <w:r>
        <w:rPr>
          <w:rFonts w:ascii="Calibri" w:hAnsi="Calibri"/>
          <w:color w:val="525866"/>
          <w:sz w:val="22"/>
        </w:rPr>
        <w:t xml:space="preserve"> Leidos committed a multiyear $100M investment in a marquee PE firm focused on federal technology (AI, advanced cyber, autonomy). Provides early access to high-growth disruptors with mission-ready capabilities. Signals a shift in capital allocation philosophy toward earlier-stage technology access. </w:t>
      </w:r>
    </w:p>
    <w:p>
      <w:pPr>
        <w:pStyle w:val="ListBullet"/>
        <w:ind w:left="360" w:hanging="360"/>
      </w:pPr>
      <w:r>
        <w:rPr>
          <w:rFonts w:ascii="Calibri" w:hAnsi="Calibri"/>
          <w:b/>
          <w:color w:val="525866"/>
          <w:sz w:val="22"/>
        </w:rPr>
        <w:t>May 5, 2026 — AGM-190A Small Cruise Missile Designation:</w:t>
      </w:r>
      <w:r>
        <w:rPr>
          <w:rFonts w:ascii="Calibri" w:hAnsi="Calibri"/>
          <w:color w:val="525866"/>
          <w:sz w:val="22"/>
        </w:rPr>
        <w:t xml:space="preserve"> Leidos’s small cruise missile formally designated AGM-190A by the U.S. Air Force (also AGM-198 by the Department of War). Management articulated a path to production runs of thousands of units this decade. Working with DoW to accelerate production, pursue derivatives, and develop further iterations. Key catalyst for Defense segment revenue and margin recovery. </w:t>
      </w:r>
    </w:p>
    <w:p>
      <w:pPr>
        <w:pStyle w:val="ListBullet"/>
        <w:ind w:left="360" w:hanging="360"/>
      </w:pPr>
      <w:r>
        <w:rPr>
          <w:rFonts w:ascii="Calibri" w:hAnsi="Calibri"/>
          <w:b/>
          <w:color w:val="525866"/>
          <w:sz w:val="22"/>
        </w:rPr>
        <w:t>May 5, 2026 — Seahawk MUSV Operational Deployment:</w:t>
      </w:r>
      <w:r>
        <w:rPr>
          <w:rFonts w:ascii="Calibri" w:hAnsi="Calibri"/>
          <w:color w:val="525866"/>
          <w:sz w:val="22"/>
        </w:rPr>
        <w:t xml:space="preserve"> Leidos’s Seahawk medium unmanned surface vehicle operationally (not experimentally) deployed as part of the Theodore Roosevelt Carrier Strike Group — the Navy’s first MUSV to reach this level. Leidos responding to U.S. Navy marketplace acquisition for MUSVs and mission payloads at scale. </w:t>
      </w:r>
    </w:p>
    <w:p>
      <w:pPr>
        <w:pStyle w:val="ListBullet"/>
        <w:ind w:left="360" w:hanging="360"/>
      </w:pPr>
      <w:r>
        <w:rPr>
          <w:rFonts w:ascii="Calibri" w:hAnsi="Calibri"/>
          <w:b/>
          <w:color w:val="525866"/>
          <w:sz w:val="22"/>
        </w:rPr>
        <w:t>May 5, 2026 — Military OneSource Award ($456M):</w:t>
      </w:r>
      <w:r>
        <w:rPr>
          <w:rFonts w:ascii="Calibri" w:hAnsi="Calibri"/>
          <w:color w:val="525866"/>
          <w:sz w:val="22"/>
        </w:rPr>
        <w:t xml:space="preserve"> Leidos awarded a $456M Military OneSource contract. Cited as a standout example of managed health growth pillar execution. Contributes to Health segment revenue visibility. </w:t>
      </w:r>
    </w:p>
    <w:p>
      <w:pPr>
        <w:pStyle w:val="ListBullet"/>
        <w:ind w:left="360" w:hanging="360"/>
      </w:pPr>
      <w:r>
        <w:rPr>
          <w:rFonts w:ascii="Calibri" w:hAnsi="Calibri"/>
          <w:b/>
          <w:color w:val="525866"/>
          <w:sz w:val="22"/>
        </w:rPr>
        <w:t>May 5, 2026 — My Service Treatment Record Pilot:</w:t>
      </w:r>
      <w:r>
        <w:rPr>
          <w:rFonts w:ascii="Calibri" w:hAnsi="Calibri"/>
          <w:color w:val="525866"/>
          <w:sz w:val="22"/>
        </w:rPr>
        <w:t xml:space="preserve"> Leidos exclusively selected to develop an AI-driven tool to automate medical record transfers from the Department of War to the VA. First-of-its-kind award; positions Leidos for broader health IT modernization opportunities. </w:t>
      </w:r>
    </w:p>
    <w:p>
      <w:pPr>
        <w:pStyle w:val="ListBullet"/>
        <w:ind w:left="360" w:hanging="360"/>
      </w:pPr>
      <w:r>
        <w:rPr>
          <w:rFonts w:ascii="Calibri" w:hAnsi="Calibri"/>
          <w:b/>
          <w:color w:val="525866"/>
          <w:sz w:val="22"/>
        </w:rPr>
        <w:t>May 6, 2026 — Shareholder Meeting:</w:t>
      </w:r>
      <w:r>
        <w:rPr>
          <w:rFonts w:ascii="Calibri" w:hAnsi="Calibri"/>
          <w:color w:val="525866"/>
          <w:sz w:val="22"/>
        </w:rPr>
        <w:t xml:space="preserve"> Leidos shareholders approved new incentive and employee stock purchase plans. Routine governance action; no material financial impact. </w:t>
      </w:r>
    </w:p>
    <w:p>
      <w:pPr>
        <w:pStyle w:val="ListBullet"/>
        <w:ind w:left="360" w:hanging="360"/>
      </w:pPr>
      <w:r>
        <w:rPr>
          <w:rFonts w:ascii="Calibri" w:hAnsi="Calibri"/>
          <w:b/>
          <w:color w:val="525866"/>
          <w:sz w:val="22"/>
        </w:rPr>
        <w:t>July 7, 2026 — Q2 2026 Earnings Call Scheduled:</w:t>
      </w:r>
      <w:r>
        <w:rPr>
          <w:rFonts w:ascii="Calibri" w:hAnsi="Calibri"/>
          <w:color w:val="525866"/>
          <w:sz w:val="22"/>
        </w:rPr>
        <w:t xml:space="preserve"> Leidos formally scheduled Q2 2026 earnings conference call for August 4, 2026 at 8 a.m. ET. Confirms reporting timeline. </w:t>
      </w:r>
    </w:p>
    <w:p>
      <w:pPr>
        <w:pStyle w:val="ListBullet"/>
        <w:ind w:left="360" w:hanging="360"/>
      </w:pPr>
      <w:r>
        <w:rPr>
          <w:rFonts w:ascii="Calibri" w:hAnsi="Calibri"/>
          <w:i/>
          <w:color w:val="525866"/>
          <w:sz w:val="22"/>
        </w:rPr>
        <w:t>No analyst rating changes (upgrades/downgrades) were identified for LDOS in the post-Q1 period through August 3, 2026.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print is minimal — a single open-market sale by a director shortly after earnings; </w:t>
      </w:r>
      <w:r>
        <w:rPr>
          <w:rFonts w:ascii="Calibri" w:hAnsi="Calibri"/>
          <w:b/>
          <w:color w:val="525866"/>
          <w:sz w:val="22"/>
        </w:rPr>
        <w:t>no open-market purchases</w:t>
      </w:r>
      <w:r>
        <w:rPr>
          <w:rFonts w:ascii="Calibri" w:hAnsi="Calibri"/>
          <w:color w:val="525866"/>
          <w:sz w:val="22"/>
        </w:rPr>
        <w:t xml:space="preserve"> have been filed, and the absence of clustered buying at the current depressed price level (~$115, down ~16% from the Q1 print date) is a mild negative signal, though the single sale is not alarming in isolation.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Gary Stephen May</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1,484 shares</w:t>
            </w:r>
          </w:p>
        </w:tc>
        <w:tc>
          <w:tcPr>
            <w:tcW w:type="dxa" w:w="1440"/>
          </w:tcPr>
          <w:p>
            <w:r>
              <w:rPr>
                <w:rFonts w:ascii="Calibri" w:hAnsi="Calibri"/>
                <w:sz w:val="22"/>
              </w:rPr>
              <w:t>May 7, 2026</w:t>
            </w:r>
          </w:p>
        </w:tc>
        <w:tc>
          <w:tcPr>
            <w:tcW w:type="dxa" w:w="1440"/>
          </w:tcPr>
          <w:p>
            <w:r>
              <w:rPr>
                <w:rFonts w:ascii="Calibri" w:hAnsi="Calibri"/>
                <w:sz w:val="22"/>
              </w:rPr>
              <w:t>Discretionary sale; not flagged as 10b5-1 plan. Sold 2 days after Q1 earnings beat. Retained 10,137 shares post-sale. Modest in size relative to holdings.</w:t>
            </w:r>
          </w:p>
        </w:tc>
      </w:tr>
    </w:tbl>
    <w:p>
      <w:r>
        <w:rPr>
          <w:rFonts w:ascii="Calibri" w:hAnsi="Calibri"/>
          <w:i/>
          <w:color w:val="525866"/>
          <w:sz w:val="22"/>
        </w:rPr>
        <w:t xml:space="preserve">Source: SEC Form 4 Filings Database. </w:t>
      </w:r>
      <w:r>
        <w:rPr>
          <w:rFonts w:ascii="Calibri" w:hAnsi="Calibri"/>
          <w:color w:val="525866"/>
          <w:sz w:val="22"/>
        </w:rPr>
        <w:t>Only open-market transactions (Form 4 codes P/S) are included. No open-market purchases were filed in the period May 5 – August 3, 2026. The single sale by Director May is modest in size and occurred immediately post-earnings, consistent with a routine post-blackout window sale rather than a directional signal. The absence of insider buying at the current ~$115 price level (near multi-year lows) is worth monitoring but not conclusive given the small insider universe and typical 10b5-1 plan dynamics.</w:t>
      </w:r>
    </w:p>
    <w:p>
      <w:r>
        <w:br w:type="page"/>
      </w:r>
    </w:p>
    <w:p>
      <w:pPr>
        <w:pStyle w:val="Heading2"/>
      </w:pPr>
      <w:r>
        <w:rPr>
          <w:rFonts w:ascii="Calibri" w:hAnsi="Calibri"/>
          <w:b/>
          <w:color w:val="3B4259"/>
          <w:sz w:val="28"/>
        </w:rPr>
        <w:t>8. Peer Commentaries &amp; Read-Through (Last 60 Days)</w:t>
      </w:r>
    </w:p>
    <w:p>
      <w:r>
        <w:rPr>
          <w:rFonts w:ascii="Calibri" w:hAnsi="Calibri"/>
          <w:b/>
          <w:color w:val="525866"/>
          <w:sz w:val="22"/>
        </w:rPr>
        <w:t xml:space="preserve">Key Takeaway: </w:t>
      </w:r>
      <w:r>
        <w:rPr>
          <w:rFonts w:ascii="Calibri" w:hAnsi="Calibri"/>
          <w:color w:val="525866"/>
          <w:sz w:val="22"/>
        </w:rPr>
        <w:t xml:space="preserve">Peer commentary from BAH (Q1 FY2027, reported July 24), KBR (Q2 2026, reported July 29–30), and CACI (Wells Fargo Conference, June 10) collectively paint a </w:t>
      </w:r>
      <w:r>
        <w:rPr>
          <w:rFonts w:ascii="Calibri" w:hAnsi="Calibri"/>
          <w:b/>
          <w:color w:val="525866"/>
          <w:sz w:val="22"/>
        </w:rPr>
        <w:t>constructive but uneven demand picture</w:t>
      </w:r>
      <w:r>
        <w:rPr>
          <w:rFonts w:ascii="Calibri" w:hAnsi="Calibri"/>
          <w:color w:val="525866"/>
          <w:sz w:val="22"/>
        </w:rPr>
        <w:t xml:space="preserve"> for government services — national security and defense tech demand is robust, procurement is recovering from the shutdown (but not fully normalized), and back-half weighting of growth is a consistent theme across all three peers, directly validating Leidos’s own H2 acceleration narrative.</w:t>
      </w:r>
    </w:p>
    <w:p>
      <w:r>
        <w:rPr>
          <w:rFonts w:ascii="Calibri" w:hAnsi="Calibri"/>
          <w:i/>
          <w:color w:val="525866"/>
          <w:sz w:val="22"/>
        </w:rPr>
        <w:t xml:space="preserve">Note on scope: </w:t>
      </w:r>
      <w:r>
        <w:rPr>
          <w:rFonts w:ascii="Calibri" w:hAnsi="Calibri"/>
          <w:i/>
          <w:color w:val="525866"/>
          <w:sz w:val="22"/>
        </w:rPr>
        <w:t>Only forward-looking commentary pertaining to each peer’s then-current unreported quarter or post-earnings commentary regarding the current reporting period (Q2 2026 calendar) is included below. Retrospective commentary on already-reported quarters has been excluded.</w:t>
      </w:r>
    </w:p>
    <w:p>
      <w:pPr>
        <w:pStyle w:val="Heading3"/>
      </w:pPr>
      <w:r>
        <w:rPr>
          <w:rFonts w:ascii="Calibri" w:hAnsi="Calibri"/>
          <w:b/>
          <w:color w:val="3B4259"/>
          <w:sz w:val="24"/>
        </w:rPr>
        <w:t>8.1 Booz Allen Hamilton (BAH) — Q1 FY2027 Earnings Call (July 24, 2026)</w:t>
      </w:r>
    </w:p>
    <w:p>
      <w:r>
        <w:rPr>
          <w:rFonts w:ascii="Calibri" w:hAnsi="Calibri"/>
          <w:b/>
          <w:color w:val="525866"/>
          <w:sz w:val="22"/>
        </w:rPr>
        <w:t xml:space="preserve">Context: </w:t>
      </w:r>
      <w:r>
        <w:rPr>
          <w:rFonts w:ascii="Calibri" w:hAnsi="Calibri"/>
          <w:color w:val="525866"/>
          <w:sz w:val="22"/>
        </w:rPr>
        <w:t>BAH’s Q1 FY2027 (quarter ended June 30, 2026) is the same calendar quarter as LDOS’s Q2 2026. BAH reported on July 24, 2026, providing the most direct and timely read-through for LDOS’s upcoming print.</w:t>
      </w:r>
    </w:p>
    <w:p>
      <w:pPr>
        <w:pStyle w:val="Heading4"/>
      </w:pPr>
      <w:r>
        <w:rPr>
          <w:rFonts w:ascii="Calibri" w:hAnsi="Calibri"/>
          <w:b/>
          <w:color w:val="3B4259"/>
          <w:sz w:val="22"/>
        </w:rPr>
        <w:t>Forward-Looking Commentary (Pertaining to BAH’s Q2 FY2027 / H2 Outlook)</w:t>
      </w:r>
    </w:p>
    <w:p>
      <w:pPr>
        <w:pStyle w:val="ListBullet"/>
        <w:ind w:left="360" w:hanging="360"/>
      </w:pPr>
      <w:r>
        <w:rPr>
          <w:rFonts w:ascii="Calibri" w:hAnsi="Calibri"/>
          <w:b/>
          <w:color w:val="525866"/>
          <w:sz w:val="22"/>
        </w:rPr>
        <w:t>Back-half weighted growth confirmed:</w:t>
      </w:r>
      <w:r>
        <w:rPr>
          <w:rFonts w:ascii="Calibri" w:hAnsi="Calibri"/>
          <w:color w:val="525866"/>
          <w:sz w:val="22"/>
        </w:rPr>
        <w:t xml:space="preserve"> BAH reaffirmed guidance across all metrics but explicitly stated growth is “back half weighted” and flagged “some pressure in Q2 on growth and profitability, largely due to sequential headwinds in the civil business.” This directly mirrors Leidos’s own Q2 trough framing and validates the sector-wide pattern of H2 acceleration.</w:t>
      </w:r>
    </w:p>
    <w:p>
      <w:pPr>
        <w:pStyle w:val="ListBullet"/>
        <w:ind w:left="360" w:hanging="360"/>
      </w:pPr>
      <w:r>
        <w:rPr>
          <w:rFonts w:ascii="Calibri" w:hAnsi="Calibri"/>
          <w:b/>
          <w:color w:val="525866"/>
          <w:sz w:val="22"/>
        </w:rPr>
        <w:t>Funding environment improving but cautious:</w:t>
      </w:r>
      <w:r>
        <w:rPr>
          <w:rFonts w:ascii="Calibri" w:hAnsi="Calibri"/>
          <w:color w:val="525866"/>
          <w:sz w:val="22"/>
        </w:rPr>
        <w:t xml:space="preserve"> BAH noted Q1 funding was up 17% YoY and “encouraged that funding continues to improve,” but CEO Rozanski cautioned that “historical precedent suggests this will complicate the budget process and create some funding uncertainty, particularly towards the end of the government fiscal year and into our second half.” Four legislative items (NDAA, potential CR, reconciliation bill, supplemental) cited as key variables. </w:t>
      </w:r>
    </w:p>
    <w:p>
      <w:pPr>
        <w:pStyle w:val="ListBullet"/>
        <w:ind w:left="360" w:hanging="360"/>
      </w:pPr>
      <w:r>
        <w:rPr>
          <w:rFonts w:ascii="Calibri" w:hAnsi="Calibri"/>
          <w:b/>
          <w:color w:val="525866"/>
          <w:sz w:val="22"/>
        </w:rPr>
        <w:t>Procurement reform creating near-term award delays:</w:t>
      </w:r>
      <w:r>
        <w:rPr>
          <w:rFonts w:ascii="Calibri" w:hAnsi="Calibri"/>
          <w:color w:val="525866"/>
          <w:sz w:val="22"/>
        </w:rPr>
        <w:t xml:space="preserve"> The government’s fast-tracking of fixed-price contract reform as the default approach is “necessary and positive for the long term” but “could also lead to near-term delays in awards as customers adjust how they buy and structure work.” This is a direct read-through risk for Leidos’s book-to-bill recovery in Q2.</w:t>
      </w:r>
    </w:p>
    <w:p>
      <w:pPr>
        <w:pStyle w:val="ListBullet"/>
        <w:ind w:left="360" w:hanging="360"/>
      </w:pPr>
      <w:r>
        <w:rPr>
          <w:rFonts w:ascii="Calibri" w:hAnsi="Calibri"/>
          <w:b/>
          <w:color w:val="525866"/>
          <w:sz w:val="22"/>
        </w:rPr>
        <w:t>National security demand robust:</w:t>
      </w:r>
      <w:r>
        <w:rPr>
          <w:rFonts w:ascii="Calibri" w:hAnsi="Calibri"/>
          <w:color w:val="525866"/>
          <w:sz w:val="22"/>
        </w:rPr>
        <w:t xml:space="preserve"> BAH expects national security to “grow mid-single digits for the fiscal year, with stronger growth expected in the back half.” Funded backlog in national security up 23% YoY. “Healthy demand signals” and accelerating hiring cited. Directly positive for Leidos’s Intelligence &amp; Digital and Defense segments.</w:t>
      </w:r>
    </w:p>
    <w:p>
      <w:pPr>
        <w:pStyle w:val="ListBullet"/>
        <w:ind w:left="360" w:hanging="360"/>
      </w:pPr>
      <w:r>
        <w:rPr>
          <w:rFonts w:ascii="Calibri" w:hAnsi="Calibri"/>
          <w:b/>
          <w:color w:val="525866"/>
          <w:sz w:val="22"/>
        </w:rPr>
        <w:t>Civil sector headwinds — company-specific caveat:</w:t>
      </w:r>
      <w:r>
        <w:rPr>
          <w:rFonts w:ascii="Calibri" w:hAnsi="Calibri"/>
          <w:color w:val="525866"/>
          <w:sz w:val="22"/>
        </w:rPr>
        <w:t xml:space="preserve"> BAH expects a “sequential double-digit decline in civil revenue next quarter” and civil down “high single digits” for the year, driven by contract endings and a slower prior-year award environment. This is largely BAH-specific (treasury/prior contract reductions) and does not directly translate to Leidos, which has a different civil mix and no comparable contract roll-off disclosed.</w:t>
      </w:r>
    </w:p>
    <w:p>
      <w:pPr>
        <w:pStyle w:val="ListBullet"/>
        <w:ind w:left="360" w:hanging="360"/>
      </w:pPr>
      <w:r>
        <w:rPr>
          <w:rFonts w:ascii="Calibri" w:hAnsi="Calibri"/>
          <w:b/>
          <w:color w:val="525866"/>
          <w:sz w:val="22"/>
        </w:rPr>
        <w:t>Margin step-down in Q2 FY2027:</w:t>
      </w:r>
      <w:r>
        <w:rPr>
          <w:rFonts w:ascii="Calibri" w:hAnsi="Calibri"/>
          <w:color w:val="525866"/>
          <w:sz w:val="22"/>
        </w:rPr>
        <w:t xml:space="preserve"> BAH guided to a “step down in margins for the rest of the year, particularly in Q2 due to the end of some higher margin civil programs and backloaded investment spending.” Full-year margin target maintained at ~11%. Consistent with Leidos’s own Q2 margin trough guidance (absence of $15M insurance reimbursement, higher growth investments).</w:t>
      </w:r>
    </w:p>
    <w:p>
      <w:pPr>
        <w:pStyle w:val="ListBullet"/>
        <w:ind w:left="360" w:hanging="360"/>
      </w:pPr>
      <w:r>
        <w:rPr>
          <w:rFonts w:ascii="Calibri" w:hAnsi="Calibri"/>
          <w:b/>
          <w:color w:val="525866"/>
          <w:sz w:val="22"/>
        </w:rPr>
        <w:t>Ultra Mission Solutions acquisition (BAH-specific):</w:t>
      </w:r>
      <w:r>
        <w:rPr>
          <w:rFonts w:ascii="Calibri" w:hAnsi="Calibri"/>
          <w:color w:val="525866"/>
          <w:sz w:val="22"/>
        </w:rPr>
        <w:t xml:space="preserve"> BAH’s $720M acquisition of Ultra Electronics’ Mission Solutions unit expected to close in Q2 FY2027. “Strong double-digit growth” and EBITDA margins “well above 20%” cited. Financial impact to be incorporated into guidance in October. Not a direct read-through for Leidos but signals continued M&amp;A activity in the defense tech space.</w:t>
      </w:r>
    </w:p>
    <w:p>
      <w:pPr>
        <w:pStyle w:val="ListBullet"/>
        <w:ind w:left="360" w:hanging="360"/>
      </w:pPr>
      <w:r>
        <w:rPr>
          <w:rFonts w:ascii="Calibri" w:hAnsi="Calibri"/>
          <w:b/>
          <w:color w:val="525866"/>
          <w:sz w:val="22"/>
        </w:rPr>
        <w:t>Book-to-bill of 1.5x in Q1 FY2027:</w:t>
      </w:r>
      <w:r>
        <w:rPr>
          <w:rFonts w:ascii="Calibri" w:hAnsi="Calibri"/>
          <w:color w:val="525866"/>
          <w:sz w:val="22"/>
        </w:rPr>
        <w:t xml:space="preserve"> BAH reported a strong 1.5x book-to-bill with funded backlog up 15% YoY to $4.7B. CFO confirmed “no funding pull-forward” — a clean quarter. This is a positive read-through for Leidos’s own book-to-bill recovery in Q2 2026, suggesting the award environment is genuinely improving.</w:t>
      </w:r>
    </w:p>
    <w:p>
      <w:r>
        <w:rPr>
          <w:rFonts w:ascii="Calibri" w:hAnsi="Calibri"/>
          <w:b/>
          <w:color w:val="525866"/>
          <w:sz w:val="22"/>
        </w:rPr>
        <w:t xml:space="preserve">Direct Read-Through to LDOS: </w:t>
      </w:r>
      <w:r>
        <w:rPr>
          <w:rFonts w:ascii="Calibri" w:hAnsi="Calibri"/>
          <w:color w:val="525866"/>
          <w:sz w:val="22"/>
        </w:rPr>
        <w:t>BAH’s Q1 FY2027 print is the strongest positive read-through for LDOS heading into Q2 2026 — robust national security demand, improving funding, and a clean 1.5x book-to-bill all validate Leidos’s H2 acceleration thesis. The shared Q2 margin pressure narrative (both companies flagging a trough quarter) reduces the risk of a negative surprise on LDOS margins. The civil headwinds are BAH-specific and do not directly apply to Leidos.</w:t>
      </w:r>
    </w:p>
    <w:p>
      <w:pPr>
        <w:pStyle w:val="Heading3"/>
      </w:pPr>
      <w:r>
        <w:rPr>
          <w:rFonts w:ascii="Calibri" w:hAnsi="Calibri"/>
          <w:b/>
          <w:color w:val="3B4259"/>
          <w:sz w:val="24"/>
        </w:rPr>
        <w:t>8.2 KBR, Inc. (KBR) — Q2 2026 Earnings Call (July 29–30, 2026)</w:t>
      </w:r>
    </w:p>
    <w:p>
      <w:r>
        <w:rPr>
          <w:rFonts w:ascii="Calibri" w:hAnsi="Calibri"/>
          <w:b/>
          <w:color w:val="525866"/>
          <w:sz w:val="22"/>
        </w:rPr>
        <w:t xml:space="preserve">Context: </w:t>
      </w:r>
      <w:r>
        <w:rPr>
          <w:rFonts w:ascii="Calibri" w:hAnsi="Calibri"/>
          <w:color w:val="525866"/>
          <w:sz w:val="22"/>
        </w:rPr>
        <w:t>KBR’s Q2 2026 (quarter ended June 30, 2026) is the same calendar quarter as LDOS’s Q2 2026. KBR reported on July 29–30, 2026, providing a direct and timely read-through. KBR’s Mission Technology Solutions (MTS) segment (soon to be spun off as “Trinsic”) is the most relevant read-through for Leidos’s government services and defense modernization businesses.</w:t>
      </w:r>
    </w:p>
    <w:p>
      <w:pPr>
        <w:pStyle w:val="Heading4"/>
      </w:pPr>
      <w:r>
        <w:rPr>
          <w:rFonts w:ascii="Calibri" w:hAnsi="Calibri"/>
          <w:b/>
          <w:color w:val="3B4259"/>
          <w:sz w:val="22"/>
        </w:rPr>
        <w:t>Forward-Looking Commentary (Pertaining to KBR’s Q3 2026 / H2 Outlook)</w:t>
      </w:r>
    </w:p>
    <w:p>
      <w:pPr>
        <w:pStyle w:val="ListBullet"/>
        <w:ind w:left="360" w:hanging="360"/>
      </w:pPr>
      <w:r>
        <w:rPr>
          <w:rFonts w:ascii="Calibri" w:hAnsi="Calibri"/>
          <w:b/>
          <w:color w:val="525866"/>
          <w:sz w:val="22"/>
        </w:rPr>
        <w:t>Full-year guidance reaffirmed with strong visibility:</w:t>
      </w:r>
      <w:r>
        <w:rPr>
          <w:rFonts w:ascii="Calibri" w:hAnsi="Calibri"/>
          <w:color w:val="525866"/>
          <w:sz w:val="22"/>
        </w:rPr>
        <w:t xml:space="preserve"> KBR reaffirmed FY2026 guidance across revenue, adjusted EBITDA, adjusted EPS, and operating cash flow. ~89% of expected FY revenue already in hand (94% for MTS). This level of revenue visibility is a positive read-through for the government services sector broadly, including Leidos.</w:t>
      </w:r>
    </w:p>
    <w:p>
      <w:pPr>
        <w:pStyle w:val="ListBullet"/>
        <w:ind w:left="360" w:hanging="360"/>
      </w:pPr>
      <w:r>
        <w:rPr>
          <w:rFonts w:ascii="Calibri" w:hAnsi="Calibri"/>
          <w:b/>
          <w:color w:val="525866"/>
          <w:sz w:val="22"/>
        </w:rPr>
        <w:t>Strong government demand in defense modernization:</w:t>
      </w:r>
      <w:r>
        <w:rPr>
          <w:rFonts w:ascii="Calibri" w:hAnsi="Calibri"/>
          <w:color w:val="525866"/>
          <w:sz w:val="22"/>
        </w:rPr>
        <w:t xml:space="preserve"> KBR’s MTS segment sees “strong demand across our defense systems modernization base and global mission operations businesses.” $10.4B awaiting award and $25B+ of bid volume expected in 2026 (up ~50% YoY), with significant submissions in H2. Directly positive for Leidos’s Intelligence &amp; Digital and Defense segments.</w:t>
      </w:r>
    </w:p>
    <w:p>
      <w:pPr>
        <w:pStyle w:val="ListBullet"/>
        <w:ind w:left="360" w:hanging="360"/>
      </w:pPr>
      <w:r>
        <w:rPr>
          <w:rFonts w:ascii="Calibri" w:hAnsi="Calibri"/>
          <w:b/>
          <w:color w:val="525866"/>
          <w:sz w:val="22"/>
        </w:rPr>
        <w:t>$10.6B of awarded work under protest — sector-wide risk:</w:t>
      </w:r>
      <w:r>
        <w:rPr>
          <w:rFonts w:ascii="Calibri" w:hAnsi="Calibri"/>
          <w:color w:val="525866"/>
          <w:sz w:val="22"/>
        </w:rPr>
        <w:t xml:space="preserve"> KBR noted ~$10.6B of awarded work currently under protest (NSF Antarctica, Dept. of State Iraq, classified Paycom Logistics Award), meaning reported backlog and book-to-bill “do not fully reflect the level of awarded work and future revenue visibility.” This highlights a sector-wide risk that Leidos’s own book-to-bill may similarly understate true awarded activity.</w:t>
      </w:r>
    </w:p>
    <w:p>
      <w:pPr>
        <w:pStyle w:val="ListBullet"/>
        <w:ind w:left="360" w:hanging="360"/>
      </w:pPr>
      <w:r>
        <w:rPr>
          <w:rFonts w:ascii="Calibri" w:hAnsi="Calibri"/>
          <w:b/>
          <w:color w:val="525866"/>
          <w:sz w:val="22"/>
        </w:rPr>
        <w:t>MTS margins running above plan at ~11% YTD:</w:t>
      </w:r>
      <w:r>
        <w:rPr>
          <w:rFonts w:ascii="Calibri" w:hAnsi="Calibri"/>
          <w:color w:val="525866"/>
          <w:sz w:val="22"/>
        </w:rPr>
        <w:t xml:space="preserve"> KBR’s MTS margins are “running a bit higher this year at about 11% on a year-to-date basis, which is ahead of our planned outlook.” Long-term targets of 10%+ maintained. Positive read-through for Leidos’s government services margin sustainability.</w:t>
      </w:r>
    </w:p>
    <w:p>
      <w:pPr>
        <w:pStyle w:val="ListBullet"/>
        <w:ind w:left="360" w:hanging="360"/>
      </w:pPr>
      <w:r>
        <w:rPr>
          <w:rFonts w:ascii="Calibri" w:hAnsi="Calibri"/>
          <w:b/>
          <w:color w:val="525866"/>
          <w:sz w:val="22"/>
        </w:rPr>
        <w:t>AI creating genuine customer demand:</w:t>
      </w:r>
      <w:r>
        <w:rPr>
          <w:rFonts w:ascii="Calibri" w:hAnsi="Calibri"/>
          <w:color w:val="525866"/>
          <w:sz w:val="22"/>
        </w:rPr>
        <w:t xml:space="preserve"> KBR stated “we actually see AI creating genuine customer demand” across both businesses. Consistent with Leidos’s own AI-as-accelerant narrative and validates the investment thesis for AI-enabled government services.</w:t>
      </w:r>
    </w:p>
    <w:p>
      <w:pPr>
        <w:pStyle w:val="ListBullet"/>
        <w:ind w:left="360" w:hanging="360"/>
      </w:pPr>
      <w:r>
        <w:rPr>
          <w:rFonts w:ascii="Calibri" w:hAnsi="Calibri"/>
          <w:b/>
          <w:color w:val="525866"/>
          <w:sz w:val="22"/>
        </w:rPr>
        <w:t>Middle East cash flow volatility — KBR-specific caveat:</w:t>
      </w:r>
      <w:r>
        <w:rPr>
          <w:rFonts w:ascii="Calibri" w:hAnsi="Calibri"/>
          <w:color w:val="525866"/>
          <w:sz w:val="22"/>
        </w:rPr>
        <w:t xml:space="preserve"> KBR flagged potential cash flow disruption from Middle East conflict, characterizing it as a timing issue rather than structural. KBR maintained full-year cash guidance. Not directly applicable to Leidos, which has minimal Middle East exposure in its government services portfolio.</w:t>
      </w:r>
    </w:p>
    <w:p>
      <w:pPr>
        <w:pStyle w:val="ListBullet"/>
        <w:ind w:left="360" w:hanging="360"/>
      </w:pPr>
      <w:r>
        <w:rPr>
          <w:rFonts w:ascii="Calibri" w:hAnsi="Calibri"/>
          <w:b/>
          <w:color w:val="525866"/>
          <w:sz w:val="22"/>
        </w:rPr>
        <w:t>Protest risk as a sector-wide dynamic:</w:t>
      </w:r>
      <w:r>
        <w:rPr>
          <w:rFonts w:ascii="Calibri" w:hAnsi="Calibri"/>
          <w:color w:val="525866"/>
          <w:sz w:val="22"/>
        </w:rPr>
        <w:t xml:space="preserve"> The $10.6B under protest at KBR underscores that even awarded contracts face timing uncertainty. Leidos investors should be aware that book-to-bill metrics across the sector may understate true pipeline conversion, which is a net positive for the H2 acceleration thesis.</w:t>
      </w:r>
    </w:p>
    <w:p>
      <w:r>
        <w:rPr>
          <w:rFonts w:ascii="Calibri" w:hAnsi="Calibri"/>
          <w:b/>
          <w:color w:val="525866"/>
          <w:sz w:val="22"/>
        </w:rPr>
        <w:t xml:space="preserve">Direct Read-Through to LDOS: </w:t>
      </w:r>
      <w:r>
        <w:rPr>
          <w:rFonts w:ascii="Calibri" w:hAnsi="Calibri"/>
          <w:color w:val="525866"/>
          <w:sz w:val="22"/>
        </w:rPr>
        <w:t>KBR’s Q2 2026 results confirm robust government demand, strong revenue visibility, and above-plan margins in defense modernization — all positive read-throughs for Leidos’s Q2 print and H2 outlook. The protest dynamic is a useful framing tool: Leidos’s Q1 book-to-bill of 0.8x may similarly understate true awarded activity. The Middle East cash flow issue is KBR-specific and not applicable to Leidos.</w:t>
      </w:r>
    </w:p>
    <w:p>
      <w:pPr>
        <w:pStyle w:val="Heading3"/>
      </w:pPr>
      <w:r>
        <w:rPr>
          <w:rFonts w:ascii="Calibri" w:hAnsi="Calibri"/>
          <w:b/>
          <w:color w:val="3B4259"/>
          <w:sz w:val="24"/>
        </w:rPr>
        <w:t>8.3 CACI International (CACI) — Wells Fargo Industrials &amp; Materials Conference (June 10, 2026)</w:t>
      </w:r>
    </w:p>
    <w:p>
      <w:r>
        <w:rPr>
          <w:rFonts w:ascii="Calibri" w:hAnsi="Calibri"/>
          <w:b/>
          <w:color w:val="525866"/>
          <w:sz w:val="22"/>
        </w:rPr>
        <w:t xml:space="preserve">Context: </w:t>
      </w:r>
      <w:r>
        <w:rPr>
          <w:rFonts w:ascii="Calibri" w:hAnsi="Calibri"/>
          <w:color w:val="525866"/>
          <w:sz w:val="22"/>
        </w:rPr>
        <w:t>CACI’s management presented at the Wells Fargo Industrials &amp; Materials Conference on June 10, 2026, during CACI’s Q4 FY2026 (quarter ending June 30, 2026 — the same calendar quarter as LDOS’s Q2 2026). Commentary is forward-looking regarding CACI’s then-current unreported quarter and FY2027 outlook. CACI reports Q4 FY2026 results on August 6, 2026.</w:t>
      </w:r>
    </w:p>
    <w:p>
      <w:pPr>
        <w:pStyle w:val="Heading4"/>
      </w:pPr>
      <w:r>
        <w:rPr>
          <w:rFonts w:ascii="Calibri" w:hAnsi="Calibri"/>
          <w:b/>
          <w:color w:val="3B4259"/>
          <w:sz w:val="22"/>
        </w:rPr>
        <w:t>Forward-Looking Commentary (Pertaining to CACI’s Q4 FY2026 / FY2027 Outlook)</w:t>
      </w:r>
    </w:p>
    <w:p>
      <w:pPr>
        <w:pStyle w:val="ListBullet"/>
        <w:ind w:left="360" w:hanging="360"/>
      </w:pPr>
      <w:r>
        <w:rPr>
          <w:rFonts w:ascii="Calibri" w:hAnsi="Calibri"/>
          <w:b/>
          <w:color w:val="525866"/>
          <w:sz w:val="22"/>
        </w:rPr>
        <w:t>National security demand durable and sustained:</w:t>
      </w:r>
      <w:r>
        <w:rPr>
          <w:rFonts w:ascii="Calibri" w:hAnsi="Calibri"/>
          <w:color w:val="525866"/>
          <w:sz w:val="22"/>
        </w:rPr>
        <w:t xml:space="preserve"> CEO Mengucci stated that “all the factors impacting government services are actually positives for our business,” with 90% of revenue in national security and 80% in aerospace &amp; defense. Areas like electromagnetic warfare, space, and counter-UAS have “durable sustained demand impulse and support.” Secretary Hegseth acknowledged that less than 20% of the “Big Beautiful Bill Act” had been appropriated, with the balance expected to be freed up shortly — a significant potential funding catalyst for the sector.</w:t>
      </w:r>
    </w:p>
    <w:p>
      <w:pPr>
        <w:pStyle w:val="ListBullet"/>
        <w:ind w:left="360" w:hanging="360"/>
      </w:pPr>
      <w:r>
        <w:rPr>
          <w:rFonts w:ascii="Calibri" w:hAnsi="Calibri"/>
          <w:b/>
          <w:color w:val="525866"/>
          <w:sz w:val="22"/>
        </w:rPr>
        <w:t>Procurement recovering but not fully normalized:</w:t>
      </w:r>
      <w:r>
        <w:rPr>
          <w:rFonts w:ascii="Calibri" w:hAnsi="Calibri"/>
          <w:color w:val="525866"/>
          <w:sz w:val="22"/>
        </w:rPr>
        <w:t xml:space="preserve"> CFO MacLauchlan noted the government acquisition mechanism is “returning to normal after the shutdown activities, but is not completely there yet. It’s improving, but it’s not really back to sort of pre-shutdown levels.” This is a direct read-through for Leidos’s Q2 book-to-bill recovery — improvement is real but gradual.</w:t>
      </w:r>
    </w:p>
    <w:p>
      <w:pPr>
        <w:pStyle w:val="ListBullet"/>
        <w:ind w:left="360" w:hanging="360"/>
      </w:pPr>
      <w:r>
        <w:rPr>
          <w:rFonts w:ascii="Calibri" w:hAnsi="Calibri"/>
          <w:b/>
          <w:color w:val="525866"/>
          <w:sz w:val="22"/>
        </w:rPr>
        <w:t>$22B pipeline for next 180 days — awards tailwind building:</w:t>
      </w:r>
      <w:r>
        <w:rPr>
          <w:rFonts w:ascii="Calibri" w:hAnsi="Calibri"/>
          <w:color w:val="525866"/>
          <w:sz w:val="22"/>
        </w:rPr>
        <w:t xml:space="preserve"> CACI’s 180-day submission pipeline grew to $22B (above average), while the amount submitted and awaiting decision is only ~$4B (unusually small). MacLauchlan expects this to create “a bow wave into the amount awaiting decision” and “an awards tailwind here as well in the future.” This is a positive read-through for sector-wide award acceleration in H2 2026, directly supporting Leidos’s H2 inflection thesis.</w:t>
      </w:r>
    </w:p>
    <w:p>
      <w:pPr>
        <w:pStyle w:val="ListBullet"/>
        <w:ind w:left="360" w:hanging="360"/>
      </w:pPr>
      <w:r>
        <w:rPr>
          <w:rFonts w:ascii="Calibri" w:hAnsi="Calibri"/>
          <w:b/>
          <w:color w:val="525866"/>
          <w:sz w:val="22"/>
        </w:rPr>
        <w:t>Book-to-bill below 1 for 3 quarters but beating guidance:</w:t>
      </w:r>
      <w:r>
        <w:rPr>
          <w:rFonts w:ascii="Calibri" w:hAnsi="Calibri"/>
          <w:color w:val="525866"/>
          <w:sz w:val="22"/>
        </w:rPr>
        <w:t xml:space="preserve"> CACI acknowledged book-to-bill has been below 1 for the last three quarters, yet the company has been “beating and raising guidance.” Average contract duration in backlog is 6 years, providing “4- to 6-quarter horizon visibility.” This is a direct validation of Leidos’s own narrative that a sub-1 book-to-bill (Q1 2026: 0.8x) does not necessarily signal revenue risk given long-duration contract structures.</w:t>
      </w:r>
    </w:p>
    <w:p>
      <w:pPr>
        <w:pStyle w:val="ListBullet"/>
        <w:ind w:left="360" w:hanging="360"/>
      </w:pPr>
      <w:r>
        <w:rPr>
          <w:rFonts w:ascii="Calibri" w:hAnsi="Calibri"/>
          <w:b/>
          <w:color w:val="525866"/>
          <w:sz w:val="22"/>
        </w:rPr>
        <w:t>AI margin-accretive, not revenue-dilutive:</w:t>
      </w:r>
      <w:r>
        <w:rPr>
          <w:rFonts w:ascii="Calibri" w:hAnsi="Calibri"/>
          <w:color w:val="525866"/>
          <w:sz w:val="22"/>
        </w:rPr>
        <w:t xml:space="preserve"> Mengucci explicitly stated AI is “not revenue dilutive” and “allows us to build software in a much more cost-effective manner. If it’s firm fixed price, we can build it faster and it’s better margins for us.” MacLauchlan confirmed “reasonable to expect some continued modest margin improvement.” Directly validates Leidos’s AI-as-accelerant positioning and supports the margin sustainability thesis.</w:t>
      </w:r>
    </w:p>
    <w:p>
      <w:pPr>
        <w:pStyle w:val="ListBullet"/>
        <w:ind w:left="360" w:hanging="360"/>
      </w:pPr>
      <w:r>
        <w:rPr>
          <w:rFonts w:ascii="Calibri" w:hAnsi="Calibri"/>
          <w:b/>
          <w:color w:val="525866"/>
          <w:sz w:val="22"/>
        </w:rPr>
        <w:t>Large programs ramping from development to production:</w:t>
      </w:r>
      <w:r>
        <w:rPr>
          <w:rFonts w:ascii="Calibri" w:hAnsi="Calibri"/>
          <w:color w:val="525866"/>
          <w:sz w:val="22"/>
        </w:rPr>
        <w:t xml:space="preserve"> CACI cited multiple billion-dollar programs (EITaaS, Spectral, NASA NCAPS, JTMS) moving from development/design phases into production/deployment, driving revenue acceleration in Q4 FY2026 and into FY2027. This mirrors Leidos’s own Defense segment narrative (AGM-190A, MUSV, ALPS/ABADS-MD) of programs transitioning from R&amp;D to production — a positive read-through for Leidos’s Defense revenue and margin trajectory.</w:t>
      </w:r>
    </w:p>
    <w:p>
      <w:pPr>
        <w:pStyle w:val="ListBullet"/>
        <w:ind w:left="360" w:hanging="360"/>
      </w:pPr>
      <w:r>
        <w:rPr>
          <w:rFonts w:ascii="Calibri" w:hAnsi="Calibri"/>
          <w:b/>
          <w:color w:val="525866"/>
          <w:sz w:val="22"/>
        </w:rPr>
        <w:t>FY2027 guidance to be provided August 6 — CACI-specific:</w:t>
      </w:r>
      <w:r>
        <w:rPr>
          <w:rFonts w:ascii="Calibri" w:hAnsi="Calibri"/>
          <w:color w:val="525866"/>
          <w:sz w:val="22"/>
        </w:rPr>
        <w:t xml:space="preserve"> CACI will provide FY2027 guidance on August 6, 2026 (two days after LDOS’s Q2 print). MacLauchlan noted the recent acquisition will be “neutral to earnings in FY2027, solidly accretive in FY2028.” Capital allocation focus is on deleveraging to low-3x leverage. These are CACI-specific dynamics and do not directly translate to Leidos.</w:t>
      </w:r>
    </w:p>
    <w:p>
      <w:pPr>
        <w:pStyle w:val="ListBullet"/>
        <w:ind w:left="360" w:hanging="360"/>
      </w:pPr>
      <w:r>
        <w:rPr>
          <w:rFonts w:ascii="Calibri" w:hAnsi="Calibri"/>
          <w:b/>
          <w:color w:val="525866"/>
          <w:sz w:val="22"/>
        </w:rPr>
        <w:t>Fixed-price contract shift — sector-wide dynamic:</w:t>
      </w:r>
      <w:r>
        <w:rPr>
          <w:rFonts w:ascii="Calibri" w:hAnsi="Calibri"/>
          <w:color w:val="525866"/>
          <w:sz w:val="22"/>
        </w:rPr>
        <w:t xml:space="preserve"> The administration’s push for firm fixed-price contracting as the default is creating near-term award delays as agencies adjust. CACI views this as positive long-term (higher margins on software/tech work) but acknowledges near-term friction. Leidos, with its growing product and fixed-price exposure (AGM-190A, MUSV), is similarly positioned to benefit long-term but faces the same near-term award timing risk.</w:t>
      </w:r>
    </w:p>
    <w:p>
      <w:r>
        <w:rPr>
          <w:rFonts w:ascii="Calibri" w:hAnsi="Calibri"/>
          <w:b/>
          <w:color w:val="525866"/>
          <w:sz w:val="22"/>
        </w:rPr>
        <w:t xml:space="preserve">Direct Read-Through to LDOS: </w:t>
      </w:r>
      <w:r>
        <w:rPr>
          <w:rFonts w:ascii="Calibri" w:hAnsi="Calibri"/>
          <w:color w:val="525866"/>
          <w:sz w:val="22"/>
        </w:rPr>
        <w:t>CACI’s June 10 conference commentary provides three key read-throughs for Leidos: (1) the sub-1 book-to-bill is not a revenue risk signal given long-duration contract structures — directly validating Leidos’s Q1 0.8x; (2) the $22B pipeline bow wave supports an H2 awards acceleration that benefits all national security-focused contractors; and (3) AI is margin-accretive and not revenue-dilutive, validating Leidos’s AI investment thesis. The procurement normalization commentary (improving but not fully back to pre-shutdown levels) is the key caveat — it suggests Leidos’s Q2 book-to-bill recovery may be gradual rather than sharp.</w:t>
      </w:r>
    </w:p>
    <w:p>
      <w:pPr>
        <w:pStyle w:val="Heading3"/>
      </w:pPr>
      <w:r>
        <w:rPr>
          <w:rFonts w:ascii="Calibri" w:hAnsi="Calibri"/>
          <w:b/>
          <w:color w:val="3B4259"/>
          <w:sz w:val="24"/>
        </w:rPr>
        <w:t>8.4 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BAH (July 24)</w:t>
            </w:r>
          </w:p>
        </w:tc>
        <w:tc>
          <w:tcPr>
            <w:tcW w:type="dxa" w:w="1728"/>
            <w:shd w:val="clear" w:color="auto" w:fill="3B4259"/>
          </w:tcPr>
          <w:p>
            <w:r>
              <w:rPr>
                <w:rFonts w:ascii="Calibri" w:hAnsi="Calibri"/>
                <w:b/>
                <w:color w:val="FFFFFF"/>
                <w:sz w:val="22"/>
              </w:rPr>
              <w:t>KBR (July 29–30)</w:t>
            </w:r>
          </w:p>
        </w:tc>
        <w:tc>
          <w:tcPr>
            <w:tcW w:type="dxa" w:w="1728"/>
            <w:shd w:val="clear" w:color="auto" w:fill="3B4259"/>
          </w:tcPr>
          <w:p>
            <w:r>
              <w:rPr>
                <w:rFonts w:ascii="Calibri" w:hAnsi="Calibri"/>
                <w:b/>
                <w:color w:val="FFFFFF"/>
                <w:sz w:val="22"/>
              </w:rPr>
              <w:t>CACI (June 10)</w:t>
            </w:r>
          </w:p>
        </w:tc>
        <w:tc>
          <w:tcPr>
            <w:tcW w:type="dxa" w:w="1728"/>
            <w:shd w:val="clear" w:color="auto" w:fill="3B4259"/>
          </w:tcPr>
          <w:p>
            <w:r>
              <w:rPr>
                <w:rFonts w:ascii="Calibri" w:hAnsi="Calibri"/>
                <w:b/>
                <w:color w:val="FFFFFF"/>
                <w:sz w:val="22"/>
              </w:rPr>
              <w:t>LDOS Read-Through</w:t>
            </w:r>
          </w:p>
        </w:tc>
      </w:tr>
      <w:tr>
        <w:tc>
          <w:tcPr>
            <w:tcW w:type="dxa" w:w="1728"/>
          </w:tcPr>
          <w:p>
            <w:r>
              <w:rPr>
                <w:rFonts w:ascii="Calibri" w:hAnsi="Calibri"/>
                <w:sz w:val="22"/>
              </w:rPr>
              <w:t>Demand Environment</w:t>
            </w:r>
          </w:p>
        </w:tc>
        <w:tc>
          <w:tcPr>
            <w:tcW w:type="dxa" w:w="1728"/>
          </w:tcPr>
          <w:p>
            <w:r>
              <w:rPr>
                <w:rFonts w:ascii="Calibri" w:hAnsi="Calibri"/>
                <w:sz w:val="22"/>
              </w:rPr>
              <w:t>Robust in national security; civil headwinds (BAH-specific)</w:t>
            </w:r>
          </w:p>
        </w:tc>
        <w:tc>
          <w:tcPr>
            <w:tcW w:type="dxa" w:w="1728"/>
          </w:tcPr>
          <w:p>
            <w:r>
              <w:rPr>
                <w:rFonts w:ascii="Calibri" w:hAnsi="Calibri"/>
                <w:sz w:val="22"/>
              </w:rPr>
              <w:t>Strong in defense modernization; 50% YoY bid volume increase</w:t>
            </w:r>
          </w:p>
        </w:tc>
        <w:tc>
          <w:tcPr>
            <w:tcW w:type="dxa" w:w="1728"/>
          </w:tcPr>
          <w:p>
            <w:r>
              <w:rPr>
                <w:rFonts w:ascii="Calibri" w:hAnsi="Calibri"/>
                <w:sz w:val="22"/>
              </w:rPr>
              <w:t>Durable in national security; Big Beautiful Bill funding catalyst</w:t>
            </w:r>
          </w:p>
        </w:tc>
        <w:tc>
          <w:tcPr>
            <w:tcW w:type="dxa" w:w="1728"/>
          </w:tcPr>
          <w:p>
            <w:r>
              <w:rPr>
                <w:rFonts w:ascii="Calibri" w:hAnsi="Calibri"/>
                <w:b/>
                <w:color w:val="30A46C"/>
                <w:sz w:val="22"/>
              </w:rPr>
              <w:t>Positive</w:t>
            </w:r>
            <w:r>
              <w:rPr>
                <w:rFonts w:ascii="Calibri" w:hAnsi="Calibri"/>
                <w:sz w:val="22"/>
              </w:rPr>
              <w:t xml:space="preserve"> — validates Intel &amp; Digital and Defense demand</w:t>
            </w:r>
          </w:p>
        </w:tc>
      </w:tr>
      <w:tr>
        <w:tc>
          <w:tcPr>
            <w:tcW w:type="dxa" w:w="1728"/>
          </w:tcPr>
          <w:p>
            <w:r>
              <w:rPr>
                <w:rFonts w:ascii="Calibri" w:hAnsi="Calibri"/>
                <w:sz w:val="22"/>
              </w:rPr>
              <w:t>Procurement / Award Timing</w:t>
            </w:r>
          </w:p>
        </w:tc>
        <w:tc>
          <w:tcPr>
            <w:tcW w:type="dxa" w:w="1728"/>
          </w:tcPr>
          <w:p>
            <w:r>
              <w:rPr>
                <w:rFonts w:ascii="Calibri" w:hAnsi="Calibri"/>
                <w:sz w:val="22"/>
              </w:rPr>
              <w:t>Fixed-price reform causing near-term delays</w:t>
            </w:r>
          </w:p>
        </w:tc>
        <w:tc>
          <w:tcPr>
            <w:tcW w:type="dxa" w:w="1728"/>
          </w:tcPr>
          <w:p>
            <w:r>
              <w:rPr>
                <w:rFonts w:ascii="Calibri" w:hAnsi="Calibri"/>
                <w:sz w:val="22"/>
              </w:rPr>
              <w:t>$10.6B under protest; book-to-bill understates true awards</w:t>
            </w:r>
          </w:p>
        </w:tc>
        <w:tc>
          <w:tcPr>
            <w:tcW w:type="dxa" w:w="1728"/>
          </w:tcPr>
          <w:p>
            <w:r>
              <w:rPr>
                <w:rFonts w:ascii="Calibri" w:hAnsi="Calibri"/>
                <w:sz w:val="22"/>
              </w:rPr>
              <w:t>Recovering but not fully normalized post-shutdown</w:t>
            </w:r>
          </w:p>
        </w:tc>
        <w:tc>
          <w:tcPr>
            <w:tcW w:type="dxa" w:w="1728"/>
          </w:tcPr>
          <w:p>
            <w:r>
              <w:rPr>
                <w:rFonts w:ascii="Calibri" w:hAnsi="Calibri"/>
                <w:b/>
                <w:sz w:val="22"/>
              </w:rPr>
              <w:t>Mixed</w:t>
            </w:r>
            <w:r>
              <w:rPr>
                <w:rFonts w:ascii="Calibri" w:hAnsi="Calibri"/>
                <w:sz w:val="22"/>
              </w:rPr>
              <w:t xml:space="preserve"> — Q2 book-to-bill recovery likely gradual, not sharp</w:t>
            </w:r>
          </w:p>
        </w:tc>
      </w:tr>
      <w:tr>
        <w:tc>
          <w:tcPr>
            <w:tcW w:type="dxa" w:w="1728"/>
          </w:tcPr>
          <w:p>
            <w:r>
              <w:rPr>
                <w:rFonts w:ascii="Calibri" w:hAnsi="Calibri"/>
                <w:sz w:val="22"/>
              </w:rPr>
              <w:t>H2 Growth Acceleration</w:t>
            </w:r>
          </w:p>
        </w:tc>
        <w:tc>
          <w:tcPr>
            <w:tcW w:type="dxa" w:w="1728"/>
          </w:tcPr>
          <w:p>
            <w:r>
              <w:rPr>
                <w:rFonts w:ascii="Calibri" w:hAnsi="Calibri"/>
                <w:sz w:val="22"/>
              </w:rPr>
              <w:t>Explicitly back-half weighted; Q2 trough confirmed</w:t>
            </w:r>
          </w:p>
        </w:tc>
        <w:tc>
          <w:tcPr>
            <w:tcW w:type="dxa" w:w="1728"/>
          </w:tcPr>
          <w:p>
            <w:r>
              <w:rPr>
                <w:rFonts w:ascii="Calibri" w:hAnsi="Calibri"/>
                <w:sz w:val="22"/>
              </w:rPr>
              <w:t>H2 project activity acceleration; STS revenue up 8% sequentially</w:t>
            </w:r>
          </w:p>
        </w:tc>
        <w:tc>
          <w:tcPr>
            <w:tcW w:type="dxa" w:w="1728"/>
          </w:tcPr>
          <w:p>
            <w:r>
              <w:rPr>
                <w:rFonts w:ascii="Calibri" w:hAnsi="Calibri"/>
                <w:sz w:val="22"/>
              </w:rPr>
              <w:t>$22B pipeline bow wave; awards tailwind building</w:t>
            </w:r>
          </w:p>
        </w:tc>
        <w:tc>
          <w:tcPr>
            <w:tcW w:type="dxa" w:w="1728"/>
          </w:tcPr>
          <w:p>
            <w:r>
              <w:rPr>
                <w:rFonts w:ascii="Calibri" w:hAnsi="Calibri"/>
                <w:b/>
                <w:color w:val="30A46C"/>
                <w:sz w:val="22"/>
              </w:rPr>
              <w:t>Strongly positive</w:t>
            </w:r>
            <w:r>
              <w:rPr>
                <w:rFonts w:ascii="Calibri" w:hAnsi="Calibri"/>
                <w:sz w:val="22"/>
              </w:rPr>
              <w:t xml:space="preserve"> — sector-wide validation of LDOS H2 thesis</w:t>
            </w:r>
          </w:p>
        </w:tc>
      </w:tr>
      <w:tr>
        <w:tc>
          <w:tcPr>
            <w:tcW w:type="dxa" w:w="1728"/>
          </w:tcPr>
          <w:p>
            <w:r>
              <w:rPr>
                <w:rFonts w:ascii="Calibri" w:hAnsi="Calibri"/>
                <w:sz w:val="22"/>
              </w:rPr>
              <w:t>Margins</w:t>
            </w:r>
          </w:p>
        </w:tc>
        <w:tc>
          <w:tcPr>
            <w:tcW w:type="dxa" w:w="1728"/>
          </w:tcPr>
          <w:p>
            <w:r>
              <w:rPr>
                <w:rFonts w:ascii="Calibri" w:hAnsi="Calibri"/>
                <w:sz w:val="22"/>
              </w:rPr>
              <w:t>Q2 step-down; full-year ~11% maintained</w:t>
            </w:r>
          </w:p>
        </w:tc>
        <w:tc>
          <w:tcPr>
            <w:tcW w:type="dxa" w:w="1728"/>
          </w:tcPr>
          <w:p>
            <w:r>
              <w:rPr>
                <w:rFonts w:ascii="Calibri" w:hAnsi="Calibri"/>
                <w:sz w:val="22"/>
              </w:rPr>
              <w:t>MTS running above plan at ~11% YTD</w:t>
            </w:r>
          </w:p>
        </w:tc>
        <w:tc>
          <w:tcPr>
            <w:tcW w:type="dxa" w:w="1728"/>
          </w:tcPr>
          <w:p>
            <w:r>
              <w:rPr>
                <w:rFonts w:ascii="Calibri" w:hAnsi="Calibri"/>
                <w:sz w:val="22"/>
              </w:rPr>
              <w:t>Modest improvement expected; AI margin-accretive</w:t>
            </w:r>
          </w:p>
        </w:tc>
        <w:tc>
          <w:tcPr>
            <w:tcW w:type="dxa" w:w="1728"/>
          </w:tcPr>
          <w:p>
            <w:r>
              <w:rPr>
                <w:rFonts w:ascii="Calibri" w:hAnsi="Calibri"/>
                <w:b/>
                <w:color w:val="30A46C"/>
                <w:sz w:val="22"/>
              </w:rPr>
              <w:t>Positive</w:t>
            </w:r>
            <w:r>
              <w:rPr>
                <w:rFonts w:ascii="Calibri" w:hAnsi="Calibri"/>
                <w:sz w:val="22"/>
              </w:rPr>
              <w:t xml:space="preserve"> — sector margins healthy; Q2 trough shared across peers</w:t>
            </w:r>
          </w:p>
        </w:tc>
      </w:tr>
      <w:tr>
        <w:tc>
          <w:tcPr>
            <w:tcW w:type="dxa" w:w="1728"/>
          </w:tcPr>
          <w:p>
            <w:r>
              <w:rPr>
                <w:rFonts w:ascii="Calibri" w:hAnsi="Calibri"/>
                <w:sz w:val="22"/>
              </w:rPr>
              <w:t>Book-to-Bill</w:t>
            </w:r>
          </w:p>
        </w:tc>
        <w:tc>
          <w:tcPr>
            <w:tcW w:type="dxa" w:w="1728"/>
          </w:tcPr>
          <w:p>
            <w:r>
              <w:rPr>
                <w:rFonts w:ascii="Calibri" w:hAnsi="Calibri"/>
                <w:sz w:val="22"/>
              </w:rPr>
              <w:t>1.5x in Q1 FY2027; funded backlog +15% YoY</w:t>
            </w:r>
          </w:p>
        </w:tc>
        <w:tc>
          <w:tcPr>
            <w:tcW w:type="dxa" w:w="1728"/>
          </w:tcPr>
          <w:p>
            <w:r>
              <w:rPr>
                <w:rFonts w:ascii="Calibri" w:hAnsi="Calibri"/>
                <w:sz w:val="22"/>
              </w:rPr>
              <w:t>Understated due to $10.6B under protest</w:t>
            </w:r>
          </w:p>
        </w:tc>
        <w:tc>
          <w:tcPr>
            <w:tcW w:type="dxa" w:w="1728"/>
          </w:tcPr>
          <w:p>
            <w:r>
              <w:rPr>
                <w:rFonts w:ascii="Calibri" w:hAnsi="Calibri"/>
                <w:sz w:val="22"/>
              </w:rPr>
              <w:t>Below 1 for 3 quarters but beating guidance; 6-yr avg contract duration</w:t>
            </w:r>
          </w:p>
        </w:tc>
        <w:tc>
          <w:tcPr>
            <w:tcW w:type="dxa" w:w="1728"/>
          </w:tcPr>
          <w:p>
            <w:r>
              <w:rPr>
                <w:rFonts w:ascii="Calibri" w:hAnsi="Calibri"/>
                <w:b/>
                <w:color w:val="30A46C"/>
                <w:sz w:val="22"/>
              </w:rPr>
              <w:t>Positive</w:t>
            </w:r>
            <w:r>
              <w:rPr>
                <w:rFonts w:ascii="Calibri" w:hAnsi="Calibri"/>
                <w:sz w:val="22"/>
              </w:rPr>
              <w:t xml:space="preserve"> — sub-1 B2B not a revenue risk; recovery expected in H2</w:t>
            </w:r>
          </w:p>
        </w:tc>
      </w:tr>
      <w:tr>
        <w:tc>
          <w:tcPr>
            <w:tcW w:type="dxa" w:w="1728"/>
          </w:tcPr>
          <w:p>
            <w:r>
              <w:rPr>
                <w:rFonts w:ascii="Calibri" w:hAnsi="Calibri"/>
                <w:sz w:val="22"/>
              </w:rPr>
              <w:t>AI / Technology</w:t>
            </w:r>
          </w:p>
        </w:tc>
        <w:tc>
          <w:tcPr>
            <w:tcW w:type="dxa" w:w="1728"/>
          </w:tcPr>
          <w:p>
            <w:r>
              <w:rPr>
                <w:rFonts w:ascii="Calibri" w:hAnsi="Calibri"/>
                <w:sz w:val="22"/>
              </w:rPr>
              <w:t>Cyber and defense tech as primary growth vectors</w:t>
            </w:r>
          </w:p>
        </w:tc>
        <w:tc>
          <w:tcPr>
            <w:tcW w:type="dxa" w:w="1728"/>
          </w:tcPr>
          <w:p>
            <w:r>
              <w:rPr>
                <w:rFonts w:ascii="Calibri" w:hAnsi="Calibri"/>
                <w:sz w:val="22"/>
              </w:rPr>
              <w:t>AI creating genuine customer demand</w:t>
            </w:r>
          </w:p>
        </w:tc>
        <w:tc>
          <w:tcPr>
            <w:tcW w:type="dxa" w:w="1728"/>
          </w:tcPr>
          <w:p>
            <w:r>
              <w:rPr>
                <w:rFonts w:ascii="Calibri" w:hAnsi="Calibri"/>
                <w:sz w:val="22"/>
              </w:rPr>
              <w:t>AI margin-accretive; not revenue-dilutive</w:t>
            </w:r>
          </w:p>
        </w:tc>
        <w:tc>
          <w:tcPr>
            <w:tcW w:type="dxa" w:w="1728"/>
          </w:tcPr>
          <w:p>
            <w:r>
              <w:rPr>
                <w:rFonts w:ascii="Calibri" w:hAnsi="Calibri"/>
                <w:b/>
                <w:color w:val="30A46C"/>
                <w:sz w:val="22"/>
              </w:rPr>
              <w:t>Positive</w:t>
            </w:r>
            <w:r>
              <w:rPr>
                <w:rFonts w:ascii="Calibri" w:hAnsi="Calibri"/>
                <w:sz w:val="22"/>
              </w:rPr>
              <w:t xml:space="preserve"> — validates LDOS AI investment thesis and margin sustainability</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