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LLY before writing the preview. Let me gather recent filings, transcripts, news, and price data.Let me read the most recent quarter's earnings materials and check for recent analyst/oral-drug news.Let me pull the year-ago Q2 2025 release for comparison and check recent news for the TRIUMPH-1 readout and consensus expectations.Let me check consensus expectations and any latest news before writing.# Eli Lilly (LLY) — Q2 2026 Earnings Preview</w:t>
      </w:r>
      <w:r>
        <w:t xml:space="preserve"> </w:t>
      </w:r>
      <w:r>
        <w:rPr>
          <w:b/>
          <w:bCs/>
        </w:rPr>
        <w:t xml:space="preserve">Report date:</w:t>
      </w:r>
      <w:r>
        <w:t xml:space="preserve"> </w:t>
      </w:r>
      <w:r>
        <w:t xml:space="preserve">Wednesday, August 5, 2026 (before market open) ·</w:t>
      </w:r>
      <w:r>
        <w:t xml:space="preserve"> </w:t>
      </w:r>
      <w:r>
        <w:rPr>
          <w:b/>
          <w:bCs/>
        </w:rPr>
        <w:t xml:space="preserve">Event:</w:t>
      </w:r>
      <w:r>
        <w:t xml:space="preserve"> </w:t>
      </w:r>
      <w:r>
        <w:t xml:space="preserve">2026 Q2 Earnings Call</w:t>
      </w:r>
    </w:p>
    <w:p>
      <w:r>
        <w:pict>
          <v:rect style="width:0;height:1.5pt" o:hralign="center" o:hrstd="t" o:hr="t"/>
        </w:pict>
      </w:r>
    </w:p>
    <w:bookmarkStart w:id="9" w:name="X949bd4f4089bbaccce539b2bd28d75b85935b6a"/>
    <w:p>
      <w:pPr>
        <w:pStyle w:val="Heading2"/>
      </w:pPr>
      <w:r>
        <w:t xml:space="preserve">1. Setup Into the Print</w:t>
      </w:r>
    </w:p>
    <w:p>
      <w:pPr>
        <w:pStyle w:val="FirstParagraph"/>
      </w:pPr>
      <w:r>
        <w:t xml:space="preserve">Lilly comes into this quarter as the ~</w:t>
      </w:r>
      <m:oMath>
        <m:r>
          <m:t>1</m:t>
        </m:r>
        <m:r>
          <m:t>t</m:t>
        </m:r>
        <m:r>
          <m:t>r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i</m:t>
        </m:r>
        <m:r>
          <m:t>n</m:t>
        </m:r>
        <m:r>
          <m:t>c</m:t>
        </m:r>
        <m:r>
          <m:t>r</m:t>
        </m:r>
        <m:r>
          <m:t>e</m:t>
        </m:r>
        <m:r>
          <m:t>t</m:t>
        </m:r>
        <m:r>
          <m:t>i</m:t>
        </m:r>
        <m:r>
          <m:t>n</m:t>
        </m:r>
        <m:r>
          <m:t>b</m:t>
        </m:r>
        <m:r>
          <m:t>e</m:t>
        </m:r>
        <m:r>
          <m:t>l</m:t>
        </m:r>
        <m:r>
          <m:t>l</m:t>
        </m:r>
        <m:r>
          <m:t>w</m:t>
        </m:r>
        <m:r>
          <m:t>e</m:t>
        </m:r>
        <m:r>
          <m:t>t</m:t>
        </m:r>
        <m:r>
          <m:t>h</m:t>
        </m:r>
        <m:r>
          <m:t>e</m:t>
        </m:r>
        <m:r>
          <m:t>r</m:t>
        </m:r>
        <m:r>
          <m:rPr>
            <m:sty m:val="p"/>
          </m:rPr>
          <m:t>,</m:t>
        </m:r>
        <m:r>
          <m:t>b</m:t>
        </m:r>
        <m:r>
          <m:t>u</m:t>
        </m:r>
        <m:r>
          <m:t>t</m:t>
        </m:r>
        <m:r>
          <m:t>t</m:t>
        </m:r>
        <m:r>
          <m:t>h</m:t>
        </m:r>
        <m:r>
          <m:t>e</m:t>
        </m:r>
        <m:r>
          <m:t>s</m:t>
        </m:r>
        <m:r>
          <m:t>t</m:t>
        </m:r>
        <m:r>
          <m:t>o</m:t>
        </m:r>
        <m:r>
          <m:t>c</m:t>
        </m:r>
        <m:r>
          <m:t>k</m:t>
        </m:r>
        <m:r>
          <m:t>h</m:t>
        </m:r>
        <m:r>
          <m:t>a</m:t>
        </m:r>
        <m:r>
          <m:t>s</m:t>
        </m:r>
        <m:r>
          <m:t>c</m:t>
        </m:r>
        <m:r>
          <m:t>o</m:t>
        </m:r>
        <m:r>
          <m:t>o</m:t>
        </m:r>
        <m:r>
          <m:t>l</m:t>
        </m:r>
        <m:r>
          <m:t>e</m:t>
        </m:r>
        <m:r>
          <m:t>d</m:t>
        </m:r>
        <m:r>
          <m:t>o</m:t>
        </m:r>
        <m:r>
          <m:t>f</m:t>
        </m:r>
        <m:r>
          <m:t>f</m:t>
        </m:r>
        <m:r>
          <m:t>r</m:t>
        </m:r>
        <m:r>
          <m:t>e</m:t>
        </m:r>
        <m:r>
          <m:t>c</m:t>
        </m:r>
        <m:r>
          <m:t>e</m:t>
        </m:r>
        <m:r>
          <m:t>n</m:t>
        </m:r>
        <m:r>
          <m:t>t</m:t>
        </m:r>
        <m:r>
          <m:t>l</m:t>
        </m:r>
        <m:r>
          <m:t>y</m:t>
        </m:r>
        <m:r>
          <m:rPr>
            <m:sty m:val="p"/>
          </m:rPr>
          <m:t>.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s</m:t>
        </m:r>
        <m:r>
          <m:t>c</m:t>
        </m:r>
        <m:r>
          <m:t>l</m:t>
        </m:r>
        <m:r>
          <m:t>o</m:t>
        </m:r>
        <m:r>
          <m:t>s</m:t>
        </m:r>
        <m:r>
          <m:t>e</m:t>
        </m:r>
        <m:r>
          <m:t>d</m:t>
        </m:r>
        <m:r>
          <m:t>a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1,115.72 on Aug 4**, down roughly 9% from their late-June peak near</w:t>
      </w:r>
      <w:r>
        <w:t xml:space="preserve"> </w:t>
      </w:r>
      <w:r>
        <w:rPr>
          <w:b/>
          <w:bCs/>
        </w:rPr>
        <w:t xml:space="preserve">$1,230</w:t>
      </w:r>
      <w:r>
        <w:t xml:space="preserve"> </w:t>
      </w:r>
      <w:r>
        <w:t xml:space="preserve">(June 29) and essentially flat-to-modestly positive year-to-date (started 2026 near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080</m:t>
        </m:r>
        <m:r>
          <m:rPr>
            <m:sty m:val="p"/>
          </m:rPr>
          <m:t>)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t>s</m:t>
        </m:r>
        <m:r>
          <m:t>t</m:t>
        </m:r>
        <m:r>
          <m:t>o</m:t>
        </m:r>
        <m:r>
          <m:t>c</m:t>
        </m:r>
        <m:r>
          <m:t>k</m:t>
        </m:r>
        <m:r>
          <m:t>h</m:t>
        </m:r>
        <m:r>
          <m:t>a</m:t>
        </m:r>
        <m:r>
          <m:t>s</m:t>
        </m:r>
        <m:r>
          <m:t>d</m:t>
        </m:r>
        <m:r>
          <m:t>r</m:t>
        </m:r>
        <m:r>
          <m:t>i</m:t>
        </m:r>
        <m:r>
          <m:t>f</m:t>
        </m:r>
        <m:r>
          <m:t>t</m:t>
        </m:r>
        <m:r>
          <m:t>e</m:t>
        </m:r>
        <m:r>
          <m:t>d</m:t>
        </m:r>
        <m:r>
          <m:t>l</m:t>
        </m:r>
        <m:r>
          <m:t>o</m:t>
        </m:r>
        <m:r>
          <m:t>w</m:t>
        </m:r>
        <m:r>
          <m:t>e</m:t>
        </m:r>
        <m:r>
          <m:t>r</m:t>
        </m:r>
        <m:r>
          <m:t>i</m:t>
        </m:r>
        <m:r>
          <m:t>n</m:t>
        </m:r>
        <m:r>
          <m:t>t</m:t>
        </m:r>
        <m:r>
          <m:t>h</m:t>
        </m:r>
        <m:r>
          <m:t>e</m:t>
        </m:r>
        <m:r>
          <m:t>d</m:t>
        </m:r>
        <m:r>
          <m:t>a</m:t>
        </m:r>
        <m:r>
          <m:t>y</m:t>
        </m:r>
        <m:r>
          <m:t>s</m:t>
        </m:r>
        <m:r>
          <m:t>d</m:t>
        </m:r>
        <m:r>
          <m:t>i</m:t>
        </m:r>
        <m:r>
          <m:t>r</m:t>
        </m:r>
        <m:r>
          <m:t>e</m:t>
        </m:r>
        <m:r>
          <m:t>c</m:t>
        </m:r>
        <m:r>
          <m:t>t</m:t>
        </m:r>
        <m:r>
          <m:t>l</m:t>
        </m:r>
        <m:r>
          <m:t>y</m:t>
        </m:r>
        <m:r>
          <m:t>a</m:t>
        </m:r>
        <m:r>
          <m:t>h</m:t>
        </m:r>
        <m:r>
          <m:t>e</m:t>
        </m:r>
        <m:r>
          <m:t>a</m:t>
        </m:r>
        <m:r>
          <m:t>d</m:t>
        </m:r>
        <m:r>
          <m:t>o</m:t>
        </m:r>
        <m:r>
          <m:t>f</m:t>
        </m:r>
        <m:r>
          <m:t>t</m:t>
        </m:r>
        <m:r>
          <m:t>h</m:t>
        </m:r>
        <m:r>
          <m:t>e</m:t>
        </m:r>
        <m:r>
          <m:t>p</m:t>
        </m:r>
        <m:r>
          <m:t>r</m:t>
        </m:r>
        <m:r>
          <m:t>i</m:t>
        </m:r>
        <m:r>
          <m:t>n</m:t>
        </m:r>
        <m:r>
          <m:t>t</m:t>
        </m:r>
        <m:r>
          <m:rPr>
            <m:sty m:val="p"/>
          </m:rPr>
          <m:t>(</m:t>
        </m:r>
        <m:r>
          <m:t> </m:t>
        </m:r>
      </m:oMath>
      <w:r>
        <w:t xml:space="preserve">1,155 on Jul 30 → ~$1,116 on Aug 4), so expectations are elevated but sentiment is not euphoric.</w:t>
      </w:r>
    </w:p>
    <w:p>
      <w:pPr>
        <w:pStyle w:val="BodyText"/>
      </w:pPr>
      <w:r>
        <w:t xml:space="preserve">The bar is high for a reason:</w:t>
      </w:r>
      <w:r>
        <w:t xml:space="preserve"> </w:t>
      </w:r>
      <w:r>
        <w:rPr>
          <w:b/>
          <w:bCs/>
        </w:rPr>
        <w:t xml:space="preserve">Q1 2026 was a blowout.</w:t>
      </w:r>
      <w:r>
        <w:t xml:space="preserve"> </w:t>
      </w:r>
      <w:r>
        <w:t xml:space="preserve">Revenue grew</w:t>
      </w:r>
      <w:r>
        <w:t xml:space="preserve"> </w:t>
      </w:r>
      <w:r>
        <w:rPr>
          <w:b/>
          <w:bCs/>
        </w:rPr>
        <w:t xml:space="preserve">56% to</w:t>
      </w:r>
      <w:r>
        <w:rPr>
          <w:b/>
          <w:bCs/>
        </w:rPr>
        <w:t xml:space="preserve"> </w:t>
      </w:r>
      <m:oMath>
        <m:r>
          <m:t>19.8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b</m:t>
        </m:r>
        <m:r>
          <m:t>e</m:t>
        </m:r>
        <m:r>
          <m:t>a</m:t>
        </m:r>
        <m:r>
          <m:t>t</m:t>
        </m:r>
        <m:r>
          <m:t>i</m:t>
        </m:r>
        <m:r>
          <m:t>n</m:t>
        </m:r>
        <m:r>
          <m:t>g</m:t>
        </m:r>
        <m:r>
          <m:t>c</m:t>
        </m:r>
        <m:r>
          <m:t>o</m:t>
        </m:r>
        <m:r>
          <m:t>n</m:t>
        </m:r>
        <m:r>
          <m:t>s</m:t>
        </m:r>
        <m:r>
          <m:t>e</m:t>
        </m:r>
        <m:r>
          <m:t>n</m:t>
        </m:r>
        <m:r>
          <m:t>s</m:t>
        </m:r>
        <m:r>
          <m:t>u</m:t>
        </m:r>
        <m:r>
          <m:t>s</m:t>
        </m:r>
        <m:r>
          <m:t>o</m:t>
        </m:r>
        <m:r>
          <m:t>f</m:t>
        </m:r>
        <m:r>
          <m:t> </m:t>
        </m:r>
      </m:oMath>
      <w:r>
        <w:rPr>
          <w:b/>
          <w:bCs/>
        </w:rPr>
        <w:t xml:space="preserve">17.6B, and non-GAAP EPS of</w:t>
      </w:r>
      <w:r>
        <w:rPr>
          <w:b/>
          <w:bCs/>
        </w:rPr>
        <w:t xml:space="preserve"> </w:t>
      </w:r>
      <m:oMath>
        <m:r>
          <m:t>8.55</m:t>
        </m:r>
        <m:r>
          <m:t>c</m:t>
        </m:r>
        <m:r>
          <m:t>r</m:t>
        </m:r>
        <m:r>
          <m:t>u</m:t>
        </m:r>
        <m:r>
          <m:t>s</m:t>
        </m:r>
        <m:r>
          <m:t>h</m:t>
        </m:r>
        <m:r>
          <m:t>e</m:t>
        </m:r>
        <m:r>
          <m:t>d</m:t>
        </m:r>
        <m:r>
          <m:t>t</m:t>
        </m:r>
        <m:r>
          <m:t>h</m:t>
        </m:r>
        <m:r>
          <m:t>e</m:t>
        </m:r>
        <m:r>
          <m:t> </m:t>
        </m:r>
      </m:oMath>
      <w:r>
        <w:rPr>
          <w:b/>
          <w:b/>
          <w:bCs/>
          <w:bCs/>
        </w:rPr>
        <w:t xml:space="preserve">6.66 estimate</w:t>
      </w:r>
      <w:r>
        <w:rPr>
          <w:b/>
          <w:bCs/>
        </w:rPr>
        <w:t xml:space="preserve">. Management raised full-year revenue guidance by</w:t>
      </w:r>
      <w:r>
        <w:rPr>
          <w:b/>
          <w:bCs/>
        </w:rPr>
        <w:t xml:space="preserve"> </w:t>
      </w:r>
      <m:oMath>
        <m:r>
          <m:t>2</m:t>
        </m:r>
        <m:r>
          <m:t>B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82–85B</w:t>
      </w:r>
      <w:r>
        <w:t xml:space="preserve"> </w:t>
      </w:r>
      <w:r>
        <w:t xml:space="preserve">and non-GAAP EPS to</w:t>
      </w:r>
      <w:r>
        <w:t xml:space="preserve"> </w:t>
      </w:r>
      <w:r>
        <w:rPr>
          <w:b/>
          <w:bCs/>
        </w:rPr>
        <w:t xml:space="preserve">$35.50–37.00</w:t>
      </w:r>
      <w:r>
        <w:t xml:space="preserve">. After a beat that large, the key question for Q2 is not</w:t>
      </w:r>
      <w:r>
        <w:t xml:space="preserve"> </w:t>
      </w:r>
      <w:r>
        <w:rPr>
          <w:i/>
          <w:iCs/>
        </w:rPr>
        <w:t xml:space="preserve">whether</w:t>
      </w:r>
      <w:r>
        <w:t xml:space="preserve"> </w:t>
      </w:r>
      <w:r>
        <w:t xml:space="preserve">Lilly grows, but whether it can deliver enough upside to justify a ~12x forward-revenue multiple (versus large-cap pharma peers closer to 5x) and support another guidance raise.</w:t>
      </w:r>
    </w:p>
    <w:p>
      <w:pPr>
        <w:pStyle w:val="BodyText"/>
      </w:pPr>
      <w:r>
        <w:rPr>
          <w:b/>
          <w:bCs/>
        </w:rPr>
        <w:t xml:space="preserve">Year-ago comparison base (Q2 2025):</w:t>
      </w:r>
    </w:p>
    <w:p>
      <w:pPr>
        <w:pStyle w:val="Compact"/>
        <w:numPr>
          <w:ilvl w:val="0"/>
          <w:numId w:val="1001"/>
        </w:numPr>
      </w:pPr>
      <w:r>
        <w:t xml:space="preserve">Total revenue:</w:t>
      </w:r>
      <w:r>
        <w:t xml:space="preserve"> </w:t>
      </w:r>
      <w:r>
        <w:rPr>
          <w:b/>
          <w:bCs/>
        </w:rPr>
        <w:t xml:space="preserve">$15.56B</w:t>
      </w:r>
      <w:r>
        <w:t xml:space="preserve"> </w:t>
      </w:r>
      <w:r>
        <w:t xml:space="preserve">(+38% y/y at the time)</w:t>
      </w:r>
    </w:p>
    <w:p>
      <w:pPr>
        <w:pStyle w:val="Compact"/>
        <w:numPr>
          <w:ilvl w:val="0"/>
          <w:numId w:val="1001"/>
        </w:numPr>
      </w:pPr>
      <w:r>
        <w:t xml:space="preserve">Non-GAAP EPS:</w:t>
      </w:r>
      <w:r>
        <w:t xml:space="preserve"> </w:t>
      </w:r>
      <w:r>
        <w:rPr>
          <w:b/>
          <w:bCs/>
        </w:rPr>
        <w:t xml:space="preserve">$6.31</w:t>
      </w:r>
    </w:p>
    <w:p>
      <w:pPr>
        <w:pStyle w:val="Compact"/>
        <w:numPr>
          <w:ilvl w:val="0"/>
          <w:numId w:val="1001"/>
        </w:numPr>
      </w:pPr>
      <w:r>
        <w:t xml:space="preserve">Mounjaro:</w:t>
      </w:r>
      <w:r>
        <w:t xml:space="preserve"> </w:t>
      </w:r>
      <m:oMath>
        <m:r>
          <m:t>5.20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|</m:t>
        </m:r>
        <m:r>
          <m:t>Z</m:t>
        </m:r>
        <m:r>
          <m:t>e</m:t>
        </m:r>
        <m:r>
          <m:t>p</m:t>
        </m:r>
        <m:r>
          <m:t>b</m:t>
        </m:r>
        <m:r>
          <m:t>o</m:t>
        </m:r>
        <m:r>
          <m:t>u</m:t>
        </m:r>
        <m:r>
          <m:t>n</m:t>
        </m:r>
        <m:r>
          <m:t>d</m:t>
        </m:r>
        <m:r>
          <m:rPr>
            <m:sty m:val="p"/>
          </m:rPr>
          <m:t>: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3.38B</w:t>
      </w:r>
    </w:p>
    <w:p>
      <w:pPr>
        <w:pStyle w:val="FirstParagraph"/>
      </w:pPr>
      <w:r>
        <w:t xml:space="preserve">For context on the trajectory: Q4 2025 revenue was ~</w:t>
      </w:r>
      <m:oMath>
        <m:r>
          <m:t>19.3</m:t>
        </m:r>
        <m:r>
          <m:t>B</m:t>
        </m:r>
        <m:r>
          <m:t>w</m:t>
        </m:r>
        <m:r>
          <m:t>i</m:t>
        </m:r>
        <m:r>
          <m:t>t</m:t>
        </m:r>
        <m:r>
          <m:t>h</m:t>
        </m:r>
        <m:r>
          <m:t>M</m:t>
        </m:r>
        <m:r>
          <m:t>o</m:t>
        </m:r>
        <m:r>
          <m:t>u</m:t>
        </m:r>
        <m:r>
          <m:t>n</m:t>
        </m:r>
        <m:r>
          <m:t>j</m:t>
        </m:r>
        <m:r>
          <m:t>a</m:t>
        </m:r>
        <m:r>
          <m:t>r</m:t>
        </m:r>
        <m:r>
          <m:t>o</m:t>
        </m:r>
        <m:r>
          <m:t>a</m:t>
        </m:r>
        <m:r>
          <m:t>t</m:t>
        </m:r>
        <m:r>
          <m:t> </m:t>
        </m:r>
      </m:oMath>
      <w:r>
        <w:t xml:space="preserve">7.4B and Zepbound ~</w:t>
      </w:r>
      <m:oMath>
        <m:r>
          <m:t>4.3</m:t>
        </m:r>
        <m:r>
          <m:t>B</m:t>
        </m:r>
        <m:r>
          <m:rPr>
            <m:sty m:val="p"/>
          </m:rPr>
          <m:t>;</m:t>
        </m:r>
        <m:r>
          <m:t>Q</m:t>
        </m:r>
        <m:r>
          <m:t>1</m:t>
        </m:r>
        <m:r>
          <m:t>2026</m:t>
        </m:r>
        <m:r>
          <m:t>M</m:t>
        </m:r>
        <m:r>
          <m:t>o</m:t>
        </m:r>
        <m:r>
          <m:t>u</m:t>
        </m:r>
        <m:r>
          <m:t>n</m:t>
        </m:r>
        <m:r>
          <m:t>j</m:t>
        </m:r>
        <m:r>
          <m:t>a</m:t>
        </m:r>
        <m:r>
          <m:t>r</m:t>
        </m:r>
        <m:r>
          <m:t>o</m:t>
        </m:r>
        <m:r>
          <m:t>w</m:t>
        </m:r>
        <m:r>
          <m:t>a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8.66B** and Zepbound **</w:t>
      </w:r>
      <m:oMath>
        <m:r>
          <m:t>4.16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t>f</m:t>
        </m:r>
        <m:r>
          <m:t>u</m:t>
        </m:r>
        <m:r>
          <m:t>l</m:t>
        </m:r>
        <m:r>
          <m:t>l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g</m:t>
        </m:r>
        <m:r>
          <m:t>u</m:t>
        </m:r>
        <m:r>
          <m:t>i</m:t>
        </m:r>
        <m:r>
          <m:t>d</m:t>
        </m:r>
        <m:r>
          <m:t>e</m:t>
        </m:r>
        <m:r>
          <m:t>m</m:t>
        </m:r>
        <m:r>
          <m:t>i</m:t>
        </m:r>
        <m:r>
          <m:t>d</m:t>
        </m:r>
        <m:r>
          <m:t>p</m:t>
        </m:r>
        <m:r>
          <m:t>o</m:t>
        </m:r>
        <m:r>
          <m:t>i</m:t>
        </m:r>
        <m:r>
          <m:t>n</m:t>
        </m:r>
        <m:r>
          <m:t>t</m:t>
        </m:r>
        <m:r>
          <m:rPr>
            <m:sty m:val="p"/>
          </m:rPr>
          <m:t>(</m:t>
        </m:r>
        <m:r>
          <m:t> </m:t>
        </m:r>
      </m:oMath>
      <w:r>
        <w:t xml:space="preserve">83.5B, ~28% growth) implies continued sequential strength — Street chatter points to the combined Mounjaro/Zepbound franchise potentially topping</w:t>
      </w:r>
      <w:r>
        <w:t xml:space="preserve"> </w:t>
      </w:r>
      <w:r>
        <w:rPr>
          <w:b/>
          <w:bCs/>
        </w:rPr>
        <w:t xml:space="preserve">$13B for the quarter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9"/>
    <w:bookmarkStart w:id="10" w:name="X290166280d9c59c6f141ed71fc5a297454b2d4e"/>
    <w:p>
      <w:pPr>
        <w:pStyle w:val="Heading2"/>
      </w:pPr>
      <w:r>
        <w:t xml:space="preserve">2. The Numbers That Matter Most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 2025 (actual)</w:t>
            </w:r>
          </w:p>
        </w:tc>
        <w:tc>
          <w:tcPr/>
          <w:p>
            <w:pPr>
              <w:pStyle w:val="Compact"/>
            </w:pPr>
            <w:r>
              <w:t xml:space="preserve">What to watch in Q2 2026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$15.56B</w:t>
            </w:r>
          </w:p>
        </w:tc>
        <w:tc>
          <w:tcPr/>
          <w:p>
            <w:pPr>
              <w:pStyle w:val="Compact"/>
            </w:pPr>
            <w:r>
              <w:t xml:space="preserve">Sustained ~40%+ growth; magnitude of any beat vs. the ~28% FY guide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$6.31</w:t>
            </w:r>
          </w:p>
        </w:tc>
        <w:tc>
          <w:tcPr/>
          <w:p>
            <w:pPr>
              <w:pStyle w:val="Compact"/>
            </w:pPr>
            <w:r>
              <w:t xml:space="preserve">Watch acquired IPR&amp;D drag from a busy BD quarter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Mounjaro (WW)</w:t>
            </w:r>
          </w:p>
        </w:tc>
        <w:tc>
          <w:tcPr/>
          <w:p>
            <w:pPr>
              <w:pStyle w:val="Compact"/>
            </w:pPr>
            <w:r>
              <w:t xml:space="preserve">$5.20B</w:t>
            </w:r>
          </w:p>
        </w:tc>
        <w:tc>
          <w:tcPr/>
          <w:p>
            <w:pPr>
              <w:pStyle w:val="Compact"/>
            </w:pPr>
            <w:r>
              <w:t xml:space="preserve">U.S. price/volume split + international ramp (&gt;55 countries)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Zepbound (U.S.)</w:t>
            </w:r>
          </w:p>
        </w:tc>
        <w:tc>
          <w:tcPr/>
          <w:p>
            <w:pPr>
              <w:pStyle w:val="Compact"/>
            </w:pPr>
            <w:r>
              <w:t xml:space="preserve">$3.38B</w:t>
            </w:r>
          </w:p>
        </w:tc>
        <w:tc>
          <w:tcPr/>
          <w:p>
            <w:pPr>
              <w:pStyle w:val="Compact"/>
            </w:pPr>
            <w:r>
              <w:t xml:space="preserve">Self-pay mix (~45% of scripts, ~55% of NRx in Q1) and net price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(non-GAAP)</w:t>
            </w:r>
          </w:p>
        </w:tc>
        <w:tc>
          <w:tcPr/>
          <w:p>
            <w:pPr>
              <w:pStyle w:val="Compact"/>
            </w:pPr>
            <w:r>
              <w:t xml:space="preserve">85.0%</w:t>
            </w:r>
          </w:p>
        </w:tc>
        <w:tc>
          <w:tcPr/>
          <w:p>
            <w:pPr>
              <w:pStyle w:val="Compact"/>
            </w:pPr>
            <w:r>
              <w:t xml:space="preserve">Trending down (82.6% in Q1) on lower realized prices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Guidance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Third consecutive raise? Or a "hold" given macro/pricing</w:t>
            </w:r>
          </w:p>
        </w:tc>
      </w:tr>
    </w:tbl>
    <w:p>
      <w:pPr>
        <w:pStyle w:val="BodyText"/>
      </w:pPr>
      <w:r>
        <w:rPr>
          <w:b/>
          <w:bCs/>
        </w:rPr>
        <w:t xml:space="preserve">Pricing is the swing factor.</w:t>
      </w:r>
      <w:r>
        <w:t xml:space="preserve"> </w:t>
      </w:r>
      <w:r>
        <w:t xml:space="preserve">Management reiterated a</w:t>
      </w:r>
      <w:r>
        <w:t xml:space="preserve"> </w:t>
      </w:r>
      <w:r>
        <w:rPr>
          <w:b/>
          <w:bCs/>
        </w:rPr>
        <w:t xml:space="preserve">low-to-mid-teens price headwind</w:t>
      </w:r>
      <w:r>
        <w:t xml:space="preserve"> </w:t>
      </w:r>
      <w:r>
        <w:t xml:space="preserve">for the full year, driven by the MFN agreement with the U.S. administration, China NRDL inclusion for Mounjaro, and lower LillyDirect self-pay prices. In Q1, U.S. price fell 7% (would have been ~10% ex a one-time rebate adjustment). Investors have largely accepted that Lilly is trading price for expansionary volume — but any commentary suggesting price erosion is steeper than expected could pressure the multiple.</w:t>
      </w:r>
    </w:p>
    <w:p>
      <w:r>
        <w:pict>
          <v:rect style="width:0;height:1.5pt" o:hralign="center" o:hrstd="t" o:hr="t"/>
        </w:pict>
      </w:r>
    </w:p>
    <w:bookmarkEnd w:id="10"/>
    <w:bookmarkStart w:id="11" w:name="Xf87bec49126412c38f76aa3a842f35d59d790be"/>
    <w:p>
      <w:pPr>
        <w:pStyle w:val="Heading2"/>
      </w:pPr>
      <w:r>
        <w:t xml:space="preserve">3. Foundayo (orforglipron) — The First "Real" Launch Quarter</w:t>
      </w:r>
    </w:p>
    <w:p>
      <w:pPr>
        <w:pStyle w:val="FirstParagraph"/>
      </w:pPr>
      <w:r>
        <w:t xml:space="preserve">This is the single most-watched line item. The oral GLP-1 pill was FDA-approved for obesity and became broadly available on</w:t>
      </w:r>
      <w:r>
        <w:t xml:space="preserve"> </w:t>
      </w:r>
      <w:r>
        <w:rPr>
          <w:b/>
          <w:bCs/>
        </w:rPr>
        <w:t xml:space="preserve">April 9</w:t>
      </w:r>
      <w:r>
        <w:t xml:space="preserve">, so Q2 is the</w:t>
      </w:r>
      <w:r>
        <w:t xml:space="preserve"> </w:t>
      </w:r>
      <w:r>
        <w:rPr>
          <w:b/>
          <w:bCs/>
        </w:rPr>
        <w:t xml:space="preserve">first full quarter of the launch</w:t>
      </w:r>
      <w:r>
        <w:t xml:space="preserve">. Going in, remember management framed the ramp as</w:t>
      </w:r>
      <w:r>
        <w:t xml:space="preserve"> </w:t>
      </w:r>
      <w:r>
        <w:rPr>
          <w:i/>
          <w:iCs/>
        </w:rPr>
        <w:t xml:space="preserve">deliberately gradual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Q1 exit metrics:</w:t>
      </w:r>
      <w:r>
        <w:t xml:space="preserve"> </w:t>
      </w:r>
      <w:r>
        <w:t xml:space="preserve">~20,000+ patients treated, &gt;8,000 prescribers (one-third new to oral GLP-1s), ~80% of scripts "new-to-class."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Access unlocks during Q2:</w:t>
      </w:r>
      <w:r>
        <w:t xml:space="preserve"> </w:t>
      </w:r>
      <w:r>
        <w:t xml:space="preserve">commercial coverage at 2 of the 3 largest PBMs (mid-May) and the</w:t>
      </w:r>
      <w:r>
        <w:t xml:space="preserve"> </w:t>
      </w:r>
      <w:r>
        <w:rPr>
          <w:b/>
          <w:bCs/>
        </w:rPr>
        <w:t xml:space="preserve">Medicare GLP-1 Bridge program starting July 1</w:t>
      </w:r>
      <w:r>
        <w:t xml:space="preserve"> </w:t>
      </w:r>
      <w:r>
        <w:t xml:space="preserve">($50/month copay, potentially millions of eligible seniors).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Full DTC/TV advertising begins in Q3</w:t>
      </w:r>
      <w:r>
        <w:t xml:space="preserve"> </w:t>
      </w:r>
      <w:r>
        <w:t xml:space="preserve">— so Q2 numbers will</w:t>
      </w:r>
      <w:r>
        <w:t xml:space="preserve"> </w:t>
      </w:r>
      <w:r>
        <w:rPr>
          <w:i/>
          <w:iCs/>
        </w:rPr>
        <w:t xml:space="preserve">precede</w:t>
      </w:r>
      <w:r>
        <w:t xml:space="preserve"> </w:t>
      </w:r>
      <w:r>
        <w:t xml:space="preserve">the biggest awareness push. Don't over-read a modest Q2 revenue figure; the setup is back-half weighted.</w:t>
      </w:r>
    </w:p>
    <w:p>
      <w:pPr>
        <w:pStyle w:val="FirstParagraph"/>
      </w:pPr>
      <w:r>
        <w:t xml:space="preserve">Also watch for confirmation of the</w:t>
      </w:r>
      <w:r>
        <w:t xml:space="preserve"> </w:t>
      </w:r>
      <w:r>
        <w:rPr>
          <w:b/>
          <w:bCs/>
        </w:rPr>
        <w:t xml:space="preserve">U.S. type 2 diabetes submission</w:t>
      </w:r>
      <w:r>
        <w:t xml:space="preserve"> </w:t>
      </w:r>
      <w:r>
        <w:t xml:space="preserve">(guided for late Q2), which would open a second, larger indication.</w:t>
      </w:r>
    </w:p>
    <w:p>
      <w:r>
        <w:pict>
          <v:rect style="width:0;height:1.5pt" o:hralign="center" o:hrstd="t" o:hr="t"/>
        </w:pict>
      </w:r>
    </w:p>
    <w:bookmarkEnd w:id="11"/>
    <w:bookmarkStart w:id="12" w:name="X5f640bc7d7a5af42d7f9226639bccbe72aeb3b1"/>
    <w:p>
      <w:pPr>
        <w:pStyle w:val="Heading2"/>
      </w:pPr>
      <w:r>
        <w:t xml:space="preserve">4. Pipeline Catalysts — Retatrutide Is the Story</w:t>
      </w:r>
    </w:p>
    <w:p>
      <w:pPr>
        <w:pStyle w:val="FirstParagraph"/>
      </w:pPr>
      <w:r>
        <w:t xml:space="preserve">Beyond the base business, this print sits amid meaningful pipeline momentum: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Retatrutide (triple agonist):</w:t>
      </w:r>
      <w:r>
        <w:t xml:space="preserve"> </w:t>
      </w:r>
      <w:r>
        <w:t xml:space="preserve">Lilly's next-gen obesity injectable. TRIUMPH-1 top-line (80-week obesity study) was guided for "later this quarter," and the company has now confirmed a</w:t>
      </w:r>
      <w:r>
        <w:t xml:space="preserve"> </w:t>
      </w:r>
      <w:r>
        <w:rPr>
          <w:b/>
          <w:bCs/>
        </w:rPr>
        <w:t xml:space="preserve">regulatory filing in Q1 2027</w:t>
      </w:r>
      <w:r>
        <w:t xml:space="preserve">, with data showing ~28% average weight loss at the highest dose. Any additional detail on the retatrutide package and TRIUMPH readouts is a potential catalyst.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Positive Phase 3 breadth in Q1:</w:t>
      </w:r>
      <w:r>
        <w:t xml:space="preserve"> </w:t>
      </w:r>
      <w:r>
        <w:t xml:space="preserve">orforglipron ACHIEVE-4 CV outcomes; Jaypirca in CLL (4th positive Phase 3); Ebglyss pediatric AD and every-8-week dosing under review; Taltz + Zepbound combos.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Non-incretin engines growing fast:</w:t>
      </w:r>
      <w:r>
        <w:t xml:space="preserve"> </w:t>
      </w:r>
      <w:r>
        <w:t xml:space="preserve">Immunology/Oncology/Neuroscience key products grew</w:t>
      </w:r>
      <w:r>
        <w:t xml:space="preserve"> </w:t>
      </w:r>
      <w:r>
        <w:rPr>
          <w:b/>
          <w:bCs/>
        </w:rPr>
        <w:t xml:space="preserve">160% y/y</w:t>
      </w:r>
      <w:r>
        <w:t xml:space="preserve"> </w:t>
      </w:r>
      <w:r>
        <w:t xml:space="preserve">in Q1 (Jaypirca, Ebglyss, Kisunla, Inluriyo, Omvoh). Watch whether this diversification narrative continues to build.</w:t>
      </w:r>
    </w:p>
    <w:p>
      <w:r>
        <w:pict>
          <v:rect style="width:0;height:1.5pt" o:hralign="center" o:hrstd="t" o:hr="t"/>
        </w:pict>
      </w:r>
    </w:p>
    <w:bookmarkEnd w:id="12"/>
    <w:bookmarkStart w:id="13" w:name="Xdb6fab47f1066ffb0e604e56f0e150e80387c77"/>
    <w:p>
      <w:pPr>
        <w:pStyle w:val="Heading2"/>
      </w:pPr>
      <w:r>
        <w:t xml:space="preserve">5. Business Development &amp; EPS Optics</w:t>
      </w:r>
    </w:p>
    <w:p>
      <w:pPr>
        <w:pStyle w:val="FirstParagraph"/>
      </w:pPr>
      <w:r>
        <w:t xml:space="preserve">Lilly has been aggressively deploying its swelling cash flow (~</w:t>
      </w:r>
      <m:oMath>
        <m:r>
          <m:t>17</m:t>
        </m:r>
        <m:r>
          <m:t>B</m:t>
        </m:r>
        <m:r>
          <m:t>e</m:t>
        </m:r>
        <m:r>
          <m:t>x</m:t>
        </m:r>
        <m:r>
          <m:t>c</m:t>
        </m:r>
        <m:r>
          <m:t>e</m:t>
        </m:r>
        <m:r>
          <m:t>s</m:t>
        </m:r>
        <m:r>
          <m:t>s</m:t>
        </m:r>
        <m:r>
          <m:t>e</m:t>
        </m:r>
        <m:r>
          <m:t>x</m:t>
        </m:r>
        <m:r>
          <m:t>p</m:t>
        </m:r>
        <m:r>
          <m:t>e</m:t>
        </m:r>
        <m:r>
          <m:t>c</m:t>
        </m:r>
        <m:r>
          <m:t>t</m:t>
        </m:r>
        <m:r>
          <m:t>e</m:t>
        </m:r>
        <m:r>
          <m:t>d</m:t>
        </m:r>
        <m:r>
          <m:t>t</m:t>
        </m:r>
        <m:r>
          <m:t>h</m:t>
        </m:r>
        <m:r>
          <m:t>i</m:t>
        </m:r>
        <m:r>
          <m:t>s</m:t>
        </m:r>
        <m:r>
          <m:t>y</m:t>
        </m:r>
        <m:r>
          <m:t>e</m:t>
        </m:r>
        <m:r>
          <m:t>a</m:t>
        </m:r>
        <m:r>
          <m:t>r</m:t>
        </m:r>
        <m:r>
          <m:rPr>
            <m:sty m:val="p"/>
          </m:rPr>
          <m:t>)</m:t>
        </m:r>
        <m:r>
          <m:rPr>
            <m:sty m:val="p"/>
          </m:rPr>
          <m:t>.</m:t>
        </m:r>
        <m:r>
          <m:t>R</m:t>
        </m:r>
        <m:r>
          <m:t>e</m:t>
        </m:r>
        <m:r>
          <m:t>c</m:t>
        </m:r>
        <m:r>
          <m:t>e</m:t>
        </m:r>
        <m:r>
          <m:t>n</m:t>
        </m:r>
        <m:r>
          <m:t>t</m:t>
        </m:r>
        <m:r>
          <m:t>d</m:t>
        </m:r>
        <m:r>
          <m:t>e</m:t>
        </m:r>
        <m:r>
          <m:t>a</m:t>
        </m:r>
        <m:r>
          <m:t>l</m:t>
        </m:r>
        <m:r>
          <m:t>s</m:t>
        </m:r>
        <m:r>
          <m:t>i</m:t>
        </m:r>
        <m:r>
          <m:t>n</m:t>
        </m:r>
        <m:r>
          <m:t>c</m:t>
        </m:r>
        <m:r>
          <m:t>l</m:t>
        </m:r>
        <m:r>
          <m:t>u</m:t>
        </m:r>
        <m:r>
          <m:t>d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t</m:t>
        </m:r>
        <m:r>
          <m:t>a</m:t>
        </m:r>
        <m:r>
          <m:t>i</m:t>
        </m:r>
        <m:r>
          <m:rPr>
            <m:sty m:val="p"/>
          </m:rPr>
          <m:t>/</m:t>
        </m:r>
        <m:r>
          <m:t>A</m:t>
        </m:r>
        <m:r>
          <m:t>t</m:t>
        </m:r>
        <m:r>
          <m:t>a</m:t>
        </m:r>
        <m:r>
          <m:t>i</m:t>
        </m:r>
        <m:r>
          <m:t>B</m:t>
        </m:r>
        <m:r>
          <m:t>e</m:t>
        </m:r>
        <m:r>
          <m:t>c</m:t>
        </m:r>
        <m:r>
          <m:t>k</m:t>
        </m:r>
        <m:r>
          <m:t>l</m:t>
        </m:r>
        <m:r>
          <m:t>e</m:t>
        </m:r>
        <m:r>
          <m:t>y</m:t>
        </m:r>
        <m:r>
          <m:rPr>
            <m:sty m:val="p"/>
          </m:rPr>
          <m:t>(</m:t>
        </m:r>
        <m:r>
          <m:t>p</m:t>
        </m:r>
        <m:r>
          <m:t>s</m:t>
        </m:r>
        <m:r>
          <m:t>y</m:t>
        </m:r>
        <m:r>
          <m:t>c</m:t>
        </m:r>
        <m:r>
          <m:t>h</m:t>
        </m:r>
        <m:r>
          <m:t>e</m:t>
        </m:r>
        <m:r>
          <m:t>d</m:t>
        </m:r>
        <m:r>
          <m:t>e</m:t>
        </m:r>
        <m:r>
          <m:t>l</m:t>
        </m:r>
        <m:r>
          <m:t>i</m:t>
        </m:r>
        <m:r>
          <m:t>c</m:t>
        </m:r>
        <m:r>
          <m:t>s</m:t>
        </m:r>
        <m:r>
          <m:rPr>
            <m:sty m:val="p"/>
          </m:rPr>
          <m:t>,</m:t>
        </m:r>
        <m:r>
          <m:t>u</m:t>
        </m:r>
        <m:r>
          <m:t>p</m:t>
        </m:r>
        <m:r>
          <m:t>t</m:t>
        </m:r>
        <m:r>
          <m:t>o</m:t>
        </m:r>
        <m:r>
          <m:t> </m:t>
        </m:r>
      </m:oMath>
      <w:r>
        <w:t xml:space="preserve">3.8B, announced mid-July)**, plus Orna, Centessa, Kelonia, Ajax, and Ventyx earlier in the year. Two implications for the print: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Acquired IPR&amp;D charges</w:t>
      </w:r>
      <w:r>
        <w:t xml:space="preserve"> </w:t>
      </w:r>
      <w:r>
        <w:t xml:space="preserve">can be a meaningful, lumpy drag on reported/non-GAAP EPS (Q1 included $0.52). Guidance excludes IPR&amp;D incurred after the guidance date, so a headline "miss" driven by deal charges should be looked through.</w:t>
      </w:r>
    </w:p>
    <w:p>
      <w:pPr>
        <w:pStyle w:val="Compact"/>
        <w:numPr>
          <w:ilvl w:val="0"/>
          <w:numId w:val="1004"/>
        </w:numPr>
      </w:pPr>
      <w:r>
        <w:t xml:space="preserve">Capital allocation scrutiny is rising — with the stock expensive, buybacks are less accretive, so investors will want to see BD discipline and strategic logic (neuroscience, immune reset, sleep-wake).</w:t>
      </w:r>
    </w:p>
    <w:p>
      <w:r>
        <w:pict>
          <v:rect style="width:0;height:1.5pt" o:hralign="center" o:hrstd="t" o:hr="t"/>
        </w:pict>
      </w:r>
    </w:p>
    <w:bookmarkEnd w:id="13"/>
    <w:bookmarkStart w:id="14" w:name="X2b00644191a245001c156fe716f216cb3003ce6"/>
    <w:p>
      <w:pPr>
        <w:pStyle w:val="Heading2"/>
      </w:pPr>
      <w:r>
        <w:t xml:space="preserve">6. Key Risks / Overhangs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Novo Nordisk litigation:</w:t>
      </w:r>
      <w:r>
        <w:t xml:space="preserve"> </w:t>
      </w:r>
      <w:r>
        <w:t xml:space="preserve">Novo sued Lilly (July) alleging false advertising on Zepbound/Mounjaro dose comparisons and is</w:t>
      </w:r>
      <w:r>
        <w:t xml:space="preserve"> </w:t>
      </w:r>
      <w:r>
        <w:rPr>
          <w:b/>
          <w:bCs/>
        </w:rPr>
        <w:t xml:space="preserve">seeking a preliminary injunction</w:t>
      </w:r>
      <w:r>
        <w:t xml:space="preserve"> </w:t>
      </w:r>
      <w:r>
        <w:t xml:space="preserve">to pull the ads. A ruling or corrective-advertising requirement could disrupt DTC campaigns — expect analyst questions on the call.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Pricing/reimbursement policy:</w:t>
      </w:r>
      <w:r>
        <w:t xml:space="preserve"> </w:t>
      </w:r>
      <w:r>
        <w:t xml:space="preserve">MFN implementation, Medicaid access losses in some states (a high-single-digit drag on Q1 Zepbound scripts), and the durability of Part D obesity coverage beyond the 2027 Bridge window.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Competitive dynamics:</w:t>
      </w:r>
      <w:r>
        <w:t xml:space="preserve"> </w:t>
      </w:r>
      <w:r>
        <w:t xml:space="preserve">Generic semaglutide entry internationally (so far</w:t>
      </w:r>
      <w:r>
        <w:t xml:space="preserve"> </w:t>
      </w:r>
      <w:r>
        <w:rPr>
          <w:i/>
          <w:iCs/>
        </w:rPr>
        <w:t xml:space="preserve">stimulating</w:t>
      </w:r>
      <w:r>
        <w:t xml:space="preserve"> </w:t>
      </w:r>
      <w:r>
        <w:t xml:space="preserve">the market per management) and Novo's higher-dose products.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Valuation/expectations risk:</w:t>
      </w:r>
      <w:r>
        <w:t xml:space="preserve"> </w:t>
      </w:r>
      <w:r>
        <w:t xml:space="preserve">After two straight blowouts, a mere in-line quarter could disappoint a stock priced for perfection.</w:t>
      </w:r>
    </w:p>
    <w:p>
      <w:r>
        <w:pict>
          <v:rect style="width:0;height:1.5pt" o:hralign="center" o:hrstd="t" o:hr="t"/>
        </w:pict>
      </w:r>
    </w:p>
    <w:bookmarkEnd w:id="14"/>
    <w:bookmarkStart w:id="15" w:name="X99efb319a9224e44fbf3b24dc26770b0d43ecc9"/>
    <w:p>
      <w:pPr>
        <w:pStyle w:val="Heading2"/>
      </w:pPr>
      <w:r>
        <w:t xml:space="preserve">7. Bottom Line — What Would Move the Stock</w:t>
      </w:r>
    </w:p>
    <w:p>
      <w:pPr>
        <w:pStyle w:val="FirstParagraph"/>
      </w:pPr>
      <w:r>
        <w:rPr>
          <w:b/>
          <w:bCs/>
        </w:rPr>
        <w:t xml:space="preserve">Bull case for the print:</w:t>
      </w:r>
      <w:r>
        <w:t xml:space="preserve"> </w:t>
      </w:r>
      <w:r>
        <w:t xml:space="preserve">Combined tirzepatide franchise well above ~$13B, U.S. Zepbound net price holding up better than feared, an early-but-encouraging Foundayo trajectory, and a</w:t>
      </w:r>
      <w:r>
        <w:t xml:space="preserve"> </w:t>
      </w:r>
      <w:r>
        <w:rPr>
          <w:b/>
          <w:bCs/>
        </w:rPr>
        <w:t xml:space="preserve">third consecutive guidance raise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Bear case:</w:t>
      </w:r>
      <w:r>
        <w:t xml:space="preserve"> </w:t>
      </w:r>
      <w:r>
        <w:t xml:space="preserve">Steeper-than-guided price erosion, a soft/ambiguous Foundayo launch read, IPR&amp;D-driven EPS noise, or cautious commentary on the Novo injunction and 2027 Medicare access.</w:t>
      </w:r>
    </w:p>
    <w:p>
      <w:pPr>
        <w:pStyle w:val="BodyText"/>
      </w:pPr>
      <w:r>
        <w:rPr>
          <w:b/>
          <w:bCs/>
        </w:rPr>
        <w:t xml:space="preserve">Net:</w:t>
      </w:r>
      <w:r>
        <w:t xml:space="preserve"> </w:t>
      </w:r>
      <w:r>
        <w:t xml:space="preserve">The fundamental momentum is exceptional and diversifying, but with the stock off its highs and richly valued, the reaction likely hinges on (1) the price/volume split on tirzepatide, (2) qualitative Foundayo launch signals ahead of the Q3 DTC push, and (3) whether management again raises the full-year outlook. Mark the</w:t>
      </w:r>
      <w:r>
        <w:t xml:space="preserve"> </w:t>
      </w:r>
      <w:r>
        <w:rPr>
          <w:b/>
          <w:bCs/>
        </w:rPr>
        <w:t xml:space="preserve">December 7, 2026 Investment Community Meeting</w:t>
      </w:r>
      <w:r>
        <w:t xml:space="preserve"> </w:t>
      </w:r>
      <w:r>
        <w:t xml:space="preserve">as the next big-picture catalyst after this print.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Sources: Lilly Q1 2026 and Q2 2025 earnings releases and transcripts; company FY2026 guidance; recent news coverage (CNBC, Reuters, Barron's, WSJ) on Foundayo/Medicare Bridge, retatrutide filing plans, the Novo Nordisk advertising lawsuit, and the Atai acquisition; and Finnhub daily price data through Aug 4, 2026. Figures are non-GAAP unless noted. This is an informational preview, not investment advice.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2026-08-05T00:43:19Z</dcterms:created>
  <dcterms:modified xsi:type="dcterms:W3CDTF">2026-08-05T00:43:19Z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