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~$20.9B vs. cons $20.5B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international Mounjaro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~$4.9B vs. cons $4.5B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Foundayo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~$0.06B vs. cons $0.10B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84.0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87.0B, midpoint $85.5B vs. cons $85.0B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 including acquired IPR&amp;D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33.50</m:t>
              </m:r>
              <m:r>
                <m:rPr>
                  <m:sty m:val="p"/>
                </m:rPr>
                <m:t>−</m:t>
              </m:r>
            </m:oMath>
            <w:r>
              <w:t xml:space="preserve">35.00, midpoint $34.25 vs. cons $34.55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International Mounjaro strength and a revenue-guide raise support the initial reaction, but implied H2 revenue of ~</w:t>
            </w:r>
            <m:oMath>
              <m:r>
                <m:t>44.8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44.7B offers little out-period upside; weak Foundayo sales and IPR&amp;D-driven EPS-guide pressure should limit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2026-08-05T00:33:39Z</dcterms:created>
  <dcterms:modified xsi:type="dcterms:W3CDTF">2026-08-05T00:33:39Z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