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0" w:name="eli-lilly-lly-q2-2026-earnings-preview"/>
    <w:p>
      <w:pPr>
        <w:pStyle w:val="Heading1"/>
      </w:pPr>
      <w:r>
        <w:t xml:space="preserve">Eli Lilly (LLY) Q2 2026 Earnings Preview</w:t>
      </w:r>
    </w:p>
    <w:p>
      <w:pPr>
        <w:pStyle w:val="BlockText"/>
      </w:pPr>
      <w:r>
        <w:rPr>
          <w:b/>
          <w:bCs/>
        </w:rPr>
        <w:t xml:space="preserve">Timing note:</w:t>
      </w:r>
      <w:r>
        <w:t xml:space="preserve"> </w:t>
      </w:r>
      <w:r>
        <w:t xml:space="preserve">Lilly reports</w:t>
      </w:r>
      <w:r>
        <w:t xml:space="preserve"> </w:t>
      </w:r>
      <w:r>
        <w:rPr>
          <w:b/>
          <w:bCs/>
        </w:rPr>
        <w:t xml:space="preserve">today, Wednesday, August 5, 2026</w:t>
      </w:r>
      <w:r>
        <w:t xml:space="preserve">—not tomorrow. The company’s conference call is scheduled for</w:t>
      </w:r>
      <w:r>
        <w:t xml:space="preserve"> </w:t>
      </w:r>
      <w:r>
        <w:rPr>
          <w:b/>
          <w:bCs/>
        </w:rPr>
        <w:t xml:space="preserve">10:00 a.m. ET</w:t>
      </w:r>
      <w:r>
        <w:t xml:space="preserve">.</w:t>
      </w:r>
    </w:p>
    <w:bookmarkStart w:id="9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Lilly enters Q2 with its core question unchanged:</w:t>
      </w:r>
      <w:r>
        <w:t xml:space="preserve"> </w:t>
      </w:r>
      <w:r>
        <w:rPr>
          <w:b/>
          <w:bCs/>
        </w:rPr>
        <w:t xml:space="preserve">can exceptional incretin volume growth continue to outrun price erosion?</w:t>
      </w:r>
      <w:r>
        <w:t xml:space="preserve"> </w:t>
      </w:r>
      <w:r>
        <w:t xml:space="preserve">The company has already demonstrated that it can—Q1 revenue rose 56% year over year to $19.8 billion—but the bar is higher now. Investors will focus less on the headline beat and more on the durability of: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Mounjaro’s international ramp</w:t>
      </w:r>
      <w:r>
        <w:t xml:space="preserve">, especially China following reimbursement inclusion;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Zepbound demand and net-price realization</w:t>
      </w:r>
      <w:r>
        <w:t xml:space="preserve"> </w:t>
      </w:r>
      <w:r>
        <w:t xml:space="preserve">in the U.S. across commercial and self-pay channels;</w:t>
      </w:r>
    </w:p>
    <w:p>
      <w:pPr>
        <w:pStyle w:val="Compact"/>
        <w:numPr>
          <w:ilvl w:val="0"/>
          <w:numId w:val="1001"/>
        </w:numPr>
      </w:pPr>
      <w:r>
        <w:t xml:space="preserve">The early, but strategically important, launch trajectory for oral GLP-1</w:t>
      </w:r>
      <w:r>
        <w:t xml:space="preserve"> </w:t>
      </w:r>
      <w:r>
        <w:rPr>
          <w:b/>
          <w:bCs/>
        </w:rPr>
        <w:t xml:space="preserve">Foundayo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The likelihood of another</w:t>
      </w:r>
      <w:r>
        <w:t xml:space="preserve"> </w:t>
      </w:r>
      <w:r>
        <w:rPr>
          <w:b/>
          <w:bCs/>
        </w:rPr>
        <w:t xml:space="preserve">2026 revenue/EPS guidance raise</w:t>
      </w:r>
      <w:r>
        <w:t xml:space="preserve">; and</w:t>
      </w:r>
    </w:p>
    <w:p>
      <w:pPr>
        <w:pStyle w:val="Compact"/>
        <w:numPr>
          <w:ilvl w:val="0"/>
          <w:numId w:val="1001"/>
        </w:numPr>
      </w:pPr>
      <w:r>
        <w:t xml:space="preserve">Whether Lilly can preserve its premium growth narrative while funding a very large pipeline and business-development agenda.</w:t>
      </w:r>
    </w:p>
    <w:p>
      <w:pPr>
        <w:pStyle w:val="FirstParagraph"/>
      </w:pPr>
      <w:r>
        <w:t xml:space="preserve">The stock closed at</w:t>
      </w:r>
      <w:r>
        <w:t xml:space="preserve"> </w:t>
      </w:r>
      <w:r>
        <w:rPr>
          <w:b/>
          <w:bCs/>
        </w:rPr>
        <w:t xml:space="preserve">$1,115.72 on August 4</w:t>
      </w:r>
      <w:r>
        <w:t xml:space="preserve">, up roughly</w:t>
      </w:r>
      <w:r>
        <w:t xml:space="preserve"> </w:t>
      </w:r>
      <w:r>
        <w:rPr>
          <w:b/>
          <w:bCs/>
        </w:rPr>
        <w:t xml:space="preserve">31%</w:t>
      </w:r>
      <w:r>
        <w:t xml:space="preserve"> </w:t>
      </w:r>
      <w:r>
        <w:t xml:space="preserve">from the April 29 close before Q1 earnings, though about</w:t>
      </w:r>
      <w:r>
        <w:t xml:space="preserve"> </w:t>
      </w:r>
      <w:r>
        <w:rPr>
          <w:b/>
          <w:bCs/>
        </w:rPr>
        <w:t xml:space="preserve">10% below</w:t>
      </w:r>
      <w:r>
        <w:t xml:space="preserve"> </w:t>
      </w:r>
      <w:r>
        <w:t xml:space="preserve">its July 7 closing high. That setup suggests investors recognize Lilly’s operational strength, but will demand confirmation that growth, pricing, and pipeline momentum remain intact.</w:t>
      </w:r>
    </w:p>
    <w:p>
      <w:r>
        <w:pict>
          <v:rect style="width:0;height:1.5pt" o:hralign="center" o:hrstd="t" o:hr="t"/>
        </w:pict>
      </w:r>
    </w:p>
    <w:bookmarkEnd w:id="9"/>
    <w:bookmarkStart w:id="10" w:name="what-matters-most-this-quarter"/>
    <w:p>
      <w:pPr>
        <w:pStyle w:val="Heading2"/>
      </w:pPr>
      <w:r>
        <w:t xml:space="preserve">What matters most this quarter</w:t>
      </w:r>
    </w:p>
    <w:bookmarkEnd w:id="10"/>
    <w:bookmarkStart w:id="13" w:name="Xfd6073241f856376f4d0f76ac0b243c9fd011bd"/>
    <w:p>
      <w:pPr>
        <w:pStyle w:val="Heading2"/>
      </w:pPr>
      <w:r>
        <w:t xml:space="preserve">1. Tirzepatide: volume versus price remains the central debate</w:t>
      </w:r>
    </w:p>
    <w:p>
      <w:pPr>
        <w:pStyle w:val="FirstParagraph"/>
      </w:pPr>
      <w:r>
        <w:t xml:space="preserve">Mounjaro and Zepbound are the financial engine of Lilly.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Product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Q1 2026 revenue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Q1 YoY growth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Q2 2025 revenue baseline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Mounjaro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$8.66B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+125%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$5.20B</w:t>
            </w:r>
          </w:p>
        </w:tc>
      </w:tr>
      <w:tr>
        <w:tc>
          <w:tcPr/>
          <w:p>
            <w:pPr>
              <w:pStyle w:val="Compact"/>
            </w:pPr>
            <w:r>
              <w:t xml:space="preserve">Zepbound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$4.16B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+80%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$3.38B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Combined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$12.82B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$8.58B</w:t>
            </w:r>
          </w:p>
        </w:tc>
      </w:tr>
    </w:tbl>
    <w:p>
      <w:pPr>
        <w:pStyle w:val="BodyText"/>
      </w:pPr>
      <w:r>
        <w:t xml:space="preserve">In Q1, Mounjaro and Zepbound together represented approximately 65% of company revenue. That concentration makes the underlying components of growth more important than the total sales number.</w:t>
      </w:r>
    </w:p>
    <w:bookmarkStart w:id="11" w:name="key-questions-for-management"/>
    <w:p>
      <w:pPr>
        <w:pStyle w:val="Heading3"/>
      </w:pPr>
      <w:r>
        <w:t xml:space="preserve">Key questions for management</w:t>
      </w:r>
    </w:p>
    <w:p>
      <w:pPr>
        <w:numPr>
          <w:ilvl w:val="0"/>
          <w:numId w:val="1002"/>
        </w:numPr>
      </w:pPr>
      <w:r>
        <w:rPr>
          <w:b/>
          <w:bCs/>
        </w:rPr>
        <w:t xml:space="preserve">Did Mounjaro’s international expansion remain powerful after the extraordinary Q1 step-up?</w:t>
      </w:r>
      <w:r>
        <w:br/>
      </w:r>
      <w:r>
        <w:t xml:space="preserve">Q1 ex-U.S. Mounjaro sales reached $4.4 billion, helped by substantial volume growth and China’s National Reimbursed Drug List inclusion for diabetes. Q2 needs to demonstrate that this is not merely a reimbursement-related step function, but the beginning of a sustainable international adoption curve.</w:t>
      </w:r>
    </w:p>
    <w:p>
      <w:pPr>
        <w:numPr>
          <w:ilvl w:val="0"/>
          <w:numId w:val="1002"/>
        </w:numPr>
      </w:pPr>
      <w:r>
        <w:rPr>
          <w:b/>
          <w:bCs/>
        </w:rPr>
        <w:t xml:space="preserve">Can Zepbound continue expanding despite lower net prices?</w:t>
      </w:r>
      <w:r>
        <w:br/>
      </w:r>
      <w:r>
        <w:t xml:space="preserve">Lilly has embraced lower out-of-pocket prices and self-pay access as a way to unlock volume. The strategy appears effective: in Q1, self-pay represented about 45% of Zepbound prescriptions and roughly 55% of new prescriptions. The trade-off is clear—more access and prescriptions, but persistent pressure on realized price.</w:t>
      </w:r>
    </w:p>
    <w:p>
      <w:pPr>
        <w:numPr>
          <w:ilvl w:val="0"/>
          <w:numId w:val="1002"/>
        </w:numPr>
      </w:pPr>
      <w:r>
        <w:rPr>
          <w:b/>
          <w:bCs/>
        </w:rPr>
        <w:t xml:space="preserve">Is commercial coverage improving or simply stable?</w:t>
      </w:r>
      <w:r>
        <w:br/>
      </w:r>
      <w:r>
        <w:t xml:space="preserve">Employer coverage remains a long-term opportunity rather than a near-term earnings driver. Lilly has indicated that its Employer Connect model should have a more meaningful impact in 2027 than in 2026.</w:t>
      </w:r>
    </w:p>
    <w:bookmarkEnd w:id="11"/>
    <w:bookmarkStart w:id="12" w:name="X0612bb6be7db3572a471f2106b3f3b761bf9fd9"/>
    <w:p>
      <w:pPr>
        <w:pStyle w:val="Heading3"/>
      </w:pPr>
      <w:r>
        <w:t xml:space="preserve">Why price realization is especially important</w:t>
      </w:r>
    </w:p>
    <w:p>
      <w:pPr>
        <w:pStyle w:val="FirstParagraph"/>
      </w:pPr>
      <w:r>
        <w:t xml:space="preserve">Q1 worldwide revenue growth was driven by a</w:t>
      </w:r>
      <w:r>
        <w:t xml:space="preserve"> </w:t>
      </w:r>
      <w:r>
        <w:rPr>
          <w:b/>
          <w:bCs/>
        </w:rPr>
        <w:t xml:space="preserve">65% volume increase</w:t>
      </w:r>
      <w:r>
        <w:t xml:space="preserve">, partly offset by a</w:t>
      </w:r>
      <w:r>
        <w:t xml:space="preserve"> </w:t>
      </w:r>
      <w:r>
        <w:rPr>
          <w:b/>
          <w:bCs/>
        </w:rPr>
        <w:t xml:space="preserve">13% decline in realized prices</w:t>
      </w:r>
      <w:r>
        <w:t xml:space="preserve">. In the U.S., price was down 7%, but management said the decline would have been roughly 10% excluding a favorable one-time rebate/discount-estimate adjustment.</w:t>
      </w:r>
    </w:p>
    <w:p>
      <w:pPr>
        <w:pStyle w:val="BodyText"/>
      </w:pPr>
      <w:r>
        <w:t xml:space="preserve">Lilly’s full-year framework still assumes a</w:t>
      </w:r>
      <w:r>
        <w:t xml:space="preserve"> </w:t>
      </w:r>
      <w:r>
        <w:rPr>
          <w:b/>
          <w:bCs/>
        </w:rPr>
        <w:t xml:space="preserve">low-to-mid-teens price headwind</w:t>
      </w:r>
      <w:r>
        <w:t xml:space="preserve">. Therefore, investors should view a strong quarter that relies on temporary favorable rebate true-ups less positively than one that shows sustained prescription and patient growth with predictable net pricing.</w:t>
      </w:r>
    </w:p>
    <w:p>
      <w:pPr>
        <w:pStyle w:val="BodyText"/>
      </w:pPr>
      <w:r>
        <w:rPr>
          <w:b/>
          <w:bCs/>
        </w:rPr>
        <w:t xml:space="preserve">The core earnings question:</w:t>
      </w:r>
      <w:r>
        <w:t xml:space="preserve"> </w:t>
      </w:r>
      <w:r>
        <w:t xml:space="preserve">Is price erosion tracking within Lilly’s guide, and is unit-demand growth still sufficiently strong to support another upward revision?</w:t>
      </w:r>
    </w:p>
    <w:p>
      <w:r>
        <w:pict>
          <v:rect style="width:0;height:1.5pt" o:hralign="center" o:hrstd="t" o:hr="t"/>
        </w:pict>
      </w:r>
    </w:p>
    <w:bookmarkEnd w:id="12"/>
    <w:bookmarkEnd w:id="13"/>
    <w:bookmarkStart w:id="15" w:name="X7cdeb21de4b711d894c7954965aedd7413cc496"/>
    <w:p>
      <w:pPr>
        <w:pStyle w:val="Heading2"/>
      </w:pPr>
      <w:r>
        <w:t xml:space="preserve">2. Foundayo: the first meaningful read on the oral-GLP-1 launch</w:t>
      </w:r>
    </w:p>
    <w:p>
      <w:pPr>
        <w:pStyle w:val="FirstParagraph"/>
      </w:pPr>
      <w:r>
        <w:t xml:space="preserve">Foundayo, Lilly’s oral GLP-1 for obesity, was broadly available in U.S. pharmacies on April 9. Q2 therefore captures its first partial commercial quarter, though the initial rollout was deliberately measured.</w:t>
      </w:r>
    </w:p>
    <w:p>
      <w:pPr>
        <w:pStyle w:val="BodyText"/>
      </w:pPr>
      <w:r>
        <w:t xml:space="preserve">At the Q1 call, Lilly disclosed:</w:t>
      </w:r>
    </w:p>
    <w:p>
      <w:pPr>
        <w:pStyle w:val="Compact"/>
        <w:numPr>
          <w:ilvl w:val="0"/>
          <w:numId w:val="1003"/>
        </w:numPr>
      </w:pPr>
      <w:r>
        <w:t xml:space="preserve">More than 20,000 patients had been treated in the early launch period;</w:t>
      </w:r>
    </w:p>
    <w:p>
      <w:pPr>
        <w:pStyle w:val="Compact"/>
        <w:numPr>
          <w:ilvl w:val="0"/>
          <w:numId w:val="1003"/>
        </w:numPr>
      </w:pPr>
      <w:r>
        <w:t xml:space="preserve">Approximately 80% of prescriptions were from patients new to the class;</w:t>
      </w:r>
    </w:p>
    <w:p>
      <w:pPr>
        <w:pStyle w:val="Compact"/>
        <w:numPr>
          <w:ilvl w:val="0"/>
          <w:numId w:val="1003"/>
        </w:numPr>
      </w:pPr>
      <w:r>
        <w:t xml:space="preserve">Commercial access had been confirmed at two of the three largest PBMs, effective around mid-May;</w:t>
      </w:r>
    </w:p>
    <w:p>
      <w:pPr>
        <w:pStyle w:val="Compact"/>
        <w:numPr>
          <w:ilvl w:val="0"/>
          <w:numId w:val="1003"/>
        </w:numPr>
      </w:pPr>
      <w:r>
        <w:t xml:space="preserve">Full-scale consumer television advertising was planned for Q3.</w:t>
      </w:r>
    </w:p>
    <w:bookmarkStart w:id="14" w:name="what-to-expect"/>
    <w:p>
      <w:pPr>
        <w:pStyle w:val="Heading3"/>
      </w:pPr>
      <w:r>
        <w:t xml:space="preserve">What to expect</w:t>
      </w:r>
    </w:p>
    <w:p>
      <w:pPr>
        <w:pStyle w:val="FirstParagraph"/>
      </w:pPr>
      <w:r>
        <w:t xml:space="preserve">Foundayo sales are unlikely to be the principal determinant of a Q2 beat. The investment relevance is instead in</w:t>
      </w:r>
      <w:r>
        <w:t xml:space="preserve"> </w:t>
      </w:r>
      <w:r>
        <w:rPr>
          <w:b/>
          <w:bCs/>
        </w:rPr>
        <w:t xml:space="preserve">leading indicators</w:t>
      </w:r>
      <w:r>
        <w:t xml:space="preserve">:</w:t>
      </w:r>
    </w:p>
    <w:p>
      <w:pPr>
        <w:pStyle w:val="Compact"/>
        <w:numPr>
          <w:ilvl w:val="0"/>
          <w:numId w:val="1004"/>
        </w:numPr>
      </w:pPr>
      <w:r>
        <w:t xml:space="preserve">Prescription and new-to-brand growth;</w:t>
      </w:r>
    </w:p>
    <w:p>
      <w:pPr>
        <w:pStyle w:val="Compact"/>
        <w:numPr>
          <w:ilvl w:val="0"/>
          <w:numId w:val="1004"/>
        </w:numPr>
      </w:pPr>
      <w:r>
        <w:t xml:space="preserve">Prescriber adoption beyond obesity specialists;</w:t>
      </w:r>
    </w:p>
    <w:p>
      <w:pPr>
        <w:pStyle w:val="Compact"/>
        <w:numPr>
          <w:ilvl w:val="0"/>
          <w:numId w:val="1004"/>
        </w:numPr>
      </w:pPr>
      <w:r>
        <w:t xml:space="preserve">Payer coverage progress;</w:t>
      </w:r>
    </w:p>
    <w:p>
      <w:pPr>
        <w:pStyle w:val="Compact"/>
        <w:numPr>
          <w:ilvl w:val="0"/>
          <w:numId w:val="1004"/>
        </w:numPr>
      </w:pPr>
      <w:r>
        <w:t xml:space="preserve">LillyDirect and telehealth-channel contribution;</w:t>
      </w:r>
    </w:p>
    <w:p>
      <w:pPr>
        <w:pStyle w:val="Compact"/>
        <w:numPr>
          <w:ilvl w:val="0"/>
          <w:numId w:val="1004"/>
        </w:numPr>
      </w:pPr>
      <w:r>
        <w:t xml:space="preserve">Evidence that the oral formulation is expanding the obesity-treatment market rather than cannibalizing Zepbound.</w:t>
      </w:r>
    </w:p>
    <w:p>
      <w:pPr>
        <w:pStyle w:val="FirstParagraph"/>
      </w:pPr>
      <w:r>
        <w:t xml:space="preserve">The favorable interpretation would be that Foundayo reaches lower-BMI, earlier-treatment, injection-averse, and cash-pay patients—thereby increasing Lilly’s addressable population. A slower launch would not necessarily damage the long-term thesis, but it would challenge the narrative that oral GLP-1s can rapidly unlock a large incremental market.</w:t>
      </w:r>
    </w:p>
    <w:p>
      <w:r>
        <w:pict>
          <v:rect style="width:0;height:1.5pt" o:hralign="center" o:hrstd="t" o:hr="t"/>
        </w:pict>
      </w:r>
    </w:p>
    <w:bookmarkEnd w:id="14"/>
    <w:bookmarkEnd w:id="15"/>
    <w:bookmarkStart w:id="18" w:name="Xe63ade952ca51159c21eb5270390667b00e1911"/>
    <w:p>
      <w:pPr>
        <w:pStyle w:val="Heading2"/>
      </w:pPr>
      <w:r>
        <w:t xml:space="preserve">3. Guidance: a raise is possible, but expectations are elevated</w:t>
      </w:r>
    </w:p>
    <w:p>
      <w:pPr>
        <w:pStyle w:val="FirstParagraph"/>
      </w:pPr>
      <w:r>
        <w:t xml:space="preserve">After Q1, Lilly raised 2026 guidance to: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2026 guidance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Current range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82.0</m:t>
              </m:r>
              <m:r>
                <m:t>B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85.0B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Non-GAAP performance margin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47.0%–48.5%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Non-GAAP EPS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35.50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37.00</w:t>
            </w:r>
          </w:p>
        </w:tc>
      </w:tr>
    </w:tbl>
    <w:p>
      <w:pPr>
        <w:pStyle w:val="BodyText"/>
      </w:pPr>
      <w:r>
        <w:t xml:space="preserve">The Q1 revenue base was already</w:t>
      </w:r>
      <w:r>
        <w:t xml:space="preserve"> </w:t>
      </w:r>
      <m:oMath>
        <m:r>
          <m:t>19.8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.</m:t>
        </m:r>
        <m:r>
          <m:t>T</m:t>
        </m:r>
        <m:r>
          <m:t>o</m:t>
        </m:r>
        <m:r>
          <m:t>d</m:t>
        </m:r>
        <m:r>
          <m:t>e</m:t>
        </m:r>
        <m:r>
          <m:t>l</m:t>
        </m:r>
        <m:r>
          <m:t>i</m:t>
        </m:r>
        <m:r>
          <m:t>v</m:t>
        </m:r>
        <m:r>
          <m:t>e</m:t>
        </m:r>
        <m:r>
          <m:t>r</m:t>
        </m:r>
        <m:r>
          <m:t>t</m:t>
        </m:r>
        <m:r>
          <m:t>h</m:t>
        </m:r>
        <m:r>
          <m:t>e</m:t>
        </m:r>
        <m:r>
          <m:t>f</m:t>
        </m:r>
        <m:r>
          <m:t>u</m:t>
        </m:r>
        <m:r>
          <m:t>l</m:t>
        </m:r>
        <m:r>
          <m:t>l</m:t>
        </m:r>
        <m:r>
          <m:rPr>
            <m:sty m:val="p"/>
          </m:rPr>
          <m:t>−</m:t>
        </m:r>
        <m:r>
          <m:t>y</m:t>
        </m:r>
        <m:r>
          <m:t>e</m:t>
        </m:r>
        <m:r>
          <m:t>a</m:t>
        </m:r>
        <m:r>
          <m:t>r</m:t>
        </m:r>
        <m:r>
          <m:t>r</m:t>
        </m:r>
        <m:r>
          <m:t>e</m:t>
        </m:r>
        <m:r>
          <m:t>v</m:t>
        </m:r>
        <m:r>
          <m:t>e</m:t>
        </m:r>
        <m:r>
          <m:t>n</m:t>
        </m:r>
        <m:r>
          <m:t>u</m:t>
        </m:r>
        <m:r>
          <m:t>e</m:t>
        </m:r>
        <m:r>
          <m:t>r</m:t>
        </m:r>
        <m:r>
          <m:t>a</m:t>
        </m:r>
        <m:r>
          <m:t>n</m:t>
        </m:r>
        <m:r>
          <m:t>g</m:t>
        </m:r>
        <m:r>
          <m:t>e</m:t>
        </m:r>
        <m:r>
          <m:rPr>
            <m:sty m:val="p"/>
          </m:rPr>
          <m:t>,</m:t>
        </m:r>
        <m:r>
          <m:t>L</m:t>
        </m:r>
        <m:r>
          <m:t>i</m:t>
        </m:r>
        <m:r>
          <m:t>l</m:t>
        </m:r>
        <m:r>
          <m:t>l</m:t>
        </m:r>
        <m:r>
          <m:t>y</m:t>
        </m:r>
        <m:r>
          <m:t>n</m:t>
        </m:r>
        <m:r>
          <m:t>e</m:t>
        </m:r>
        <m:r>
          <m:t>e</m:t>
        </m:r>
        <m:r>
          <m:t>d</m:t>
        </m:r>
        <m:r>
          <m:t>s</m:t>
        </m:r>
        <m:r>
          <m:t>a</m:t>
        </m:r>
        <m:r>
          <m:t>p</m:t>
        </m:r>
        <m:r>
          <m:t>p</m:t>
        </m:r>
        <m:r>
          <m:t>r</m:t>
        </m:r>
        <m:r>
          <m:t>o</m:t>
        </m:r>
        <m:r>
          <m:t>x</m:t>
        </m:r>
        <m:r>
          <m:t>i</m:t>
        </m:r>
        <m:r>
          <m:t>m</m:t>
        </m:r>
        <m:r>
          <m:t>a</m:t>
        </m:r>
        <m:r>
          <m:t>t</m:t>
        </m:r>
        <m:r>
          <m:t>e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62.2 billion to</w:t>
      </w:r>
      <w:r>
        <w:t xml:space="preserve"> </w:t>
      </w:r>
      <m:oMath>
        <m:r>
          <m:t>65.2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a</m:t>
        </m:r>
        <m:r>
          <m:t>c</m:t>
        </m:r>
        <m:r>
          <m:t>r</m:t>
        </m:r>
        <m:r>
          <m:t>o</m:t>
        </m:r>
        <m:r>
          <m:t>s</m:t>
        </m:r>
        <m:r>
          <m:t>s</m:t>
        </m:r>
        <m:r>
          <m:t>Q</m:t>
        </m:r>
        <m:r>
          <m:t>2</m:t>
        </m:r>
        <m:r>
          <m:rPr>
            <m:sty m:val="p"/>
          </m:rPr>
          <m:t>–</m:t>
        </m:r>
        <m:r>
          <m:t>Q</m:t>
        </m:r>
        <m:r>
          <m:t>4</m:t>
        </m:r>
        <m:r>
          <m:rPr>
            <m:sty m:val="p"/>
          </m:rPr>
          <m:t>,</m:t>
        </m:r>
        <m:r>
          <m:t>o</m:t>
        </m:r>
        <m:r>
          <m:t>r</m:t>
        </m:r>
        <m:r>
          <m:t>r</m:t>
        </m:r>
        <m:r>
          <m:t>o</m:t>
        </m:r>
        <m:r>
          <m:t>u</m:t>
        </m:r>
        <m:r>
          <m:t>g</m:t>
        </m:r>
        <m:r>
          <m:t>h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20.7 billion to $21.7 billion per quarter on average**.</w:t>
      </w:r>
    </w:p>
    <w:p>
      <w:pPr>
        <w:pStyle w:val="BodyText"/>
      </w:pPr>
      <w:r>
        <w:t xml:space="preserve">That is demanding, but plausible given:</w:t>
      </w:r>
    </w:p>
    <w:p>
      <w:pPr>
        <w:pStyle w:val="Compact"/>
        <w:numPr>
          <w:ilvl w:val="0"/>
          <w:numId w:val="1005"/>
        </w:numPr>
      </w:pPr>
      <w:r>
        <w:t xml:space="preserve">Continued Mounjaro international growth;</w:t>
      </w:r>
    </w:p>
    <w:p>
      <w:pPr>
        <w:pStyle w:val="Compact"/>
        <w:numPr>
          <w:ilvl w:val="0"/>
          <w:numId w:val="1005"/>
        </w:numPr>
      </w:pPr>
      <w:r>
        <w:t xml:space="preserve">Sustained Zepbound demand;</w:t>
      </w:r>
    </w:p>
    <w:p>
      <w:pPr>
        <w:pStyle w:val="Compact"/>
        <w:numPr>
          <w:ilvl w:val="0"/>
          <w:numId w:val="1005"/>
        </w:numPr>
      </w:pPr>
      <w:r>
        <w:t xml:space="preserve">Further expansion of oral GLP-1 access;</w:t>
      </w:r>
    </w:p>
    <w:p>
      <w:pPr>
        <w:pStyle w:val="Compact"/>
        <w:numPr>
          <w:ilvl w:val="0"/>
          <w:numId w:val="1005"/>
        </w:numPr>
      </w:pPr>
      <w:r>
        <w:t xml:space="preserve">July activation of the Medicare GLP-1 Bridge program, which is more relevant to second-half outlook than to Q2 revenue;</w:t>
      </w:r>
    </w:p>
    <w:p>
      <w:pPr>
        <w:pStyle w:val="Compact"/>
        <w:numPr>
          <w:ilvl w:val="0"/>
          <w:numId w:val="1005"/>
        </w:numPr>
      </w:pPr>
      <w:r>
        <w:t xml:space="preserve">Contributions from immunology, oncology, and neuroscience launches.</w:t>
      </w:r>
    </w:p>
    <w:bookmarkStart w:id="16" w:name="what-would-support-another-raise"/>
    <w:p>
      <w:pPr>
        <w:pStyle w:val="Heading3"/>
      </w:pPr>
      <w:r>
        <w:t xml:space="preserve">What would support another raise?</w:t>
      </w:r>
    </w:p>
    <w:p>
      <w:pPr>
        <w:pStyle w:val="Compact"/>
        <w:numPr>
          <w:ilvl w:val="0"/>
          <w:numId w:val="1006"/>
        </w:numPr>
      </w:pPr>
      <w:r>
        <w:t xml:space="preserve">A clear Q2 beat driven by underlying volume rather than accounting items;</w:t>
      </w:r>
    </w:p>
    <w:p>
      <w:pPr>
        <w:pStyle w:val="Compact"/>
        <w:numPr>
          <w:ilvl w:val="0"/>
          <w:numId w:val="1006"/>
        </w:numPr>
      </w:pPr>
      <w:r>
        <w:t xml:space="preserve">Stronger-than-expected Mounjaro sales outside the U.S.;</w:t>
      </w:r>
    </w:p>
    <w:p>
      <w:pPr>
        <w:pStyle w:val="Compact"/>
        <w:numPr>
          <w:ilvl w:val="0"/>
          <w:numId w:val="1006"/>
        </w:numPr>
      </w:pPr>
      <w:r>
        <w:t xml:space="preserve">Zepbound persistence despite lower pricing;</w:t>
      </w:r>
    </w:p>
    <w:p>
      <w:pPr>
        <w:pStyle w:val="Compact"/>
        <w:numPr>
          <w:ilvl w:val="0"/>
          <w:numId w:val="1006"/>
        </w:numPr>
      </w:pPr>
      <w:r>
        <w:t xml:space="preserve">Confidence that Foundayo’s access and consumer-promotion ramp will contribute in H2;</w:t>
      </w:r>
    </w:p>
    <w:p>
      <w:pPr>
        <w:pStyle w:val="Compact"/>
        <w:numPr>
          <w:ilvl w:val="0"/>
          <w:numId w:val="1006"/>
        </w:numPr>
      </w:pPr>
      <w:r>
        <w:t xml:space="preserve">No meaningful deterioration in gross-margin or operating-expense trends.</w:t>
      </w:r>
    </w:p>
    <w:bookmarkEnd w:id="16"/>
    <w:bookmarkStart w:id="17" w:name="Xc557ffad23784fb0dd86ba815ea209c3a418d2d"/>
    <w:p>
      <w:pPr>
        <w:pStyle w:val="Heading3"/>
      </w:pPr>
      <w:r>
        <w:t xml:space="preserve">What could limit a raise despite strong results?</w:t>
      </w:r>
    </w:p>
    <w:p>
      <w:pPr>
        <w:pStyle w:val="FirstParagraph"/>
      </w:pPr>
      <w:r>
        <w:t xml:space="preserve">Management may choose to retain conservatism because of:</w:t>
      </w:r>
    </w:p>
    <w:p>
      <w:pPr>
        <w:pStyle w:val="Compact"/>
        <w:numPr>
          <w:ilvl w:val="0"/>
          <w:numId w:val="1007"/>
        </w:numPr>
      </w:pPr>
      <w:r>
        <w:t xml:space="preserve">Ongoing price concessions and reimbursement negotiations;</w:t>
      </w:r>
    </w:p>
    <w:p>
      <w:pPr>
        <w:pStyle w:val="Compact"/>
        <w:numPr>
          <w:ilvl w:val="0"/>
          <w:numId w:val="1007"/>
        </w:numPr>
      </w:pPr>
      <w:r>
        <w:t xml:space="preserve">Launch investments for Foundayo and other new products;</w:t>
      </w:r>
    </w:p>
    <w:p>
      <w:pPr>
        <w:pStyle w:val="Compact"/>
        <w:numPr>
          <w:ilvl w:val="0"/>
          <w:numId w:val="1007"/>
        </w:numPr>
      </w:pPr>
      <w:r>
        <w:t xml:space="preserve">A large R&amp;D burden, including 42 active Phase III programs cited in Q1;</w:t>
      </w:r>
    </w:p>
    <w:p>
      <w:pPr>
        <w:pStyle w:val="Compact"/>
        <w:numPr>
          <w:ilvl w:val="0"/>
          <w:numId w:val="1007"/>
        </w:numPr>
      </w:pPr>
      <w:r>
        <w:t xml:space="preserve">Acquired in-process R&amp;D charges and integration costs from its active business-development program.</w:t>
      </w:r>
    </w:p>
    <w:p>
      <w:r>
        <w:pict>
          <v:rect style="width:0;height:1.5pt" o:hralign="center" o:hrstd="t" o:hr="t"/>
        </w:pict>
      </w:r>
    </w:p>
    <w:bookmarkEnd w:id="17"/>
    <w:bookmarkEnd w:id="18"/>
    <w:bookmarkStart w:id="19" w:name="Xd2e02236567fba8648149df207780096a76baef"/>
    <w:p>
      <w:pPr>
        <w:pStyle w:val="Heading2"/>
      </w:pPr>
      <w:r>
        <w:t xml:space="preserve">4. Margin: watch the quality of the earnings beat</w:t>
      </w:r>
    </w:p>
    <w:p>
      <w:pPr>
        <w:pStyle w:val="FirstParagraph"/>
      </w:pPr>
      <w:r>
        <w:t xml:space="preserve">Lilly’s Q1 non-GAAP gross margin was</w:t>
      </w:r>
      <w:r>
        <w:t xml:space="preserve"> </w:t>
      </w:r>
      <w:r>
        <w:rPr>
          <w:b/>
          <w:bCs/>
        </w:rPr>
        <w:t xml:space="preserve">82.6%</w:t>
      </w:r>
      <w:r>
        <w:t xml:space="preserve">, down 90 basis points year over year, primarily due to lower realized prices. Yet non-GAAP performance margin was 50%, up about seven points year over year, reflecting operating leverage from extraordinary revenue growth.</w:t>
      </w:r>
    </w:p>
    <w:p>
      <w:pPr>
        <w:pStyle w:val="BodyText"/>
      </w:pPr>
      <w:r>
        <w:t xml:space="preserve">For Q2, investors should focus on: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Gross-margin direction:</w:t>
      </w:r>
      <w:r>
        <w:t xml:space="preserve"> </w:t>
      </w:r>
      <w:r>
        <w:t xml:space="preserve">Is pricing pressure worsening, stabilizing, or being offset by manufacturing efficiency and mix?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R&amp;D intensity:</w:t>
      </w:r>
      <w:r>
        <w:t xml:space="preserve"> </w:t>
      </w:r>
      <w:r>
        <w:t xml:space="preserve">Q1 R&amp;D rose 28% year over year to $3.5 billion as Lilly continued to fund its broad late-stage pipeline.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Selling expense:</w:t>
      </w:r>
      <w:r>
        <w:t xml:space="preserve"> </w:t>
      </w:r>
      <w:r>
        <w:t xml:space="preserve">Foundayo commercialization and other launches should keep promotional spending elevated.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IPR&amp;D/acquisition charges:</w:t>
      </w:r>
      <w:r>
        <w:t xml:space="preserve"> </w:t>
      </w:r>
      <w:r>
        <w:t xml:space="preserve">These can make reported EPS volatile and obscure the core operating trend.</w:t>
      </w:r>
    </w:p>
    <w:p>
      <w:pPr>
        <w:pStyle w:val="FirstParagraph"/>
      </w:pPr>
      <w:r>
        <w:t xml:space="preserve">A high-quality result would feature revenue growth, stable-to-improving operating leverage, and guidance that demonstrates that Lilly can keep investing aggressively without compromising its longer-term margin model.</w:t>
      </w:r>
    </w:p>
    <w:p>
      <w:r>
        <w:pict>
          <v:rect style="width:0;height:1.5pt" o:hralign="center" o:hrstd="t" o:hr="t"/>
        </w:pict>
      </w:r>
    </w:p>
    <w:bookmarkEnd w:id="19"/>
    <w:bookmarkStart w:id="20" w:name="X651578c0894cceba1c32e60010d33819a5028b5"/>
    <w:p>
      <w:pPr>
        <w:pStyle w:val="Heading2"/>
      </w:pPr>
      <w:r>
        <w:t xml:space="preserve">5. Retatrutide has become a major valuation support</w:t>
      </w:r>
    </w:p>
    <w:p>
      <w:pPr>
        <w:pStyle w:val="FirstParagraph"/>
      </w:pPr>
      <w:r>
        <w:t xml:space="preserve">While it will not affect Q2 sales, retatrutide is increasingly important to the long-term bull case.</w:t>
      </w:r>
    </w:p>
    <w:p>
      <w:pPr>
        <w:pStyle w:val="BodyText"/>
      </w:pPr>
      <w:r>
        <w:t xml:space="preserve">Recent Phase III data showed:</w:t>
      </w:r>
    </w:p>
    <w:p>
      <w:pPr>
        <w:pStyle w:val="Compact"/>
        <w:numPr>
          <w:ilvl w:val="0"/>
          <w:numId w:val="1009"/>
        </w:numPr>
      </w:pPr>
      <w:r>
        <w:t xml:space="preserve">Up to</w:t>
      </w:r>
      <w:r>
        <w:t xml:space="preserve"> </w:t>
      </w:r>
      <w:r>
        <w:rPr>
          <w:b/>
          <w:bCs/>
        </w:rPr>
        <w:t xml:space="preserve">28.3% average weight loss at 80 weeks</w:t>
      </w:r>
      <w:r>
        <w:t xml:space="preserve"> </w:t>
      </w:r>
      <w:r>
        <w:t xml:space="preserve">at the highest dose in TRIUMPH-1;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30.3% weight loss</w:t>
      </w:r>
      <w:r>
        <w:t xml:space="preserve"> </w:t>
      </w:r>
      <w:r>
        <w:t xml:space="preserve">in a treatment-extension subset;</w:t>
      </w:r>
    </w:p>
    <w:p>
      <w:pPr>
        <w:pStyle w:val="Compact"/>
        <w:numPr>
          <w:ilvl w:val="0"/>
          <w:numId w:val="1009"/>
        </w:numPr>
      </w:pPr>
      <w:r>
        <w:t xml:space="preserve">Approximately</w:t>
      </w:r>
      <w:r>
        <w:t xml:space="preserve"> </w:t>
      </w:r>
      <w:r>
        <w:rPr>
          <w:b/>
          <w:bCs/>
        </w:rPr>
        <w:t xml:space="preserve">19% weight loss</w:t>
      </w:r>
      <w:r>
        <w:t xml:space="preserve"> </w:t>
      </w:r>
      <w:r>
        <w:t xml:space="preserve">at the 4 mg dose, with discontinuations due to adverse events below the placebo rate in that study;</w:t>
      </w:r>
    </w:p>
    <w:p>
      <w:pPr>
        <w:pStyle w:val="Compact"/>
        <w:numPr>
          <w:ilvl w:val="0"/>
          <w:numId w:val="1009"/>
        </w:numPr>
      </w:pPr>
      <w:r>
        <w:t xml:space="preserve">Improvement in obesity-related knee pain and obstructive-sleep-apnea measures.</w:t>
      </w:r>
    </w:p>
    <w:p>
      <w:pPr>
        <w:pStyle w:val="FirstParagraph"/>
      </w:pPr>
      <w:r>
        <w:t xml:space="preserve">Lilly said on July 23 that it expects to seek approval for retatrutide in</w:t>
      </w:r>
      <w:r>
        <w:t xml:space="preserve"> </w:t>
      </w:r>
      <w:r>
        <w:rPr>
          <w:b/>
          <w:bCs/>
        </w:rPr>
        <w:t xml:space="preserve">early 2027</w:t>
      </w:r>
      <w:r>
        <w:t xml:space="preserve">. Investors should listen for clarification on the regulatory timeline, manufacturing planning, dose positioning, and the role of retatrutide relative to Zepbound and Foundayo.</w:t>
      </w:r>
    </w:p>
    <w:p>
      <w:pPr>
        <w:pStyle w:val="BodyText"/>
      </w:pPr>
      <w:r>
        <w:t xml:space="preserve">One important nuance: June investor-event commentary had referenced a second-half 2026 filing timeline, while July communication pointed to early 2027. Management should be asked whether this reflects a changed timeline, a broader data package, or differing regulatory-geography assumptions.</w:t>
      </w:r>
    </w:p>
    <w:p>
      <w:r>
        <w:pict>
          <v:rect style="width:0;height:1.5pt" o:hralign="center" o:hrstd="t" o:hr="t"/>
        </w:pict>
      </w:r>
    </w:p>
    <w:bookmarkEnd w:id="20"/>
    <w:bookmarkStart w:id="24" w:name="secondary-items-to-watch"/>
    <w:p>
      <w:pPr>
        <w:pStyle w:val="Heading2"/>
      </w:pPr>
      <w:r>
        <w:t xml:space="preserve">Secondary items to watch</w:t>
      </w:r>
    </w:p>
    <w:bookmarkStart w:id="21" w:name="non-incretin-growth-franchises"/>
    <w:p>
      <w:pPr>
        <w:pStyle w:val="Heading3"/>
      </w:pPr>
      <w:r>
        <w:t xml:space="preserve">Non-incretin growth franchises</w:t>
      </w:r>
    </w:p>
    <w:p>
      <w:pPr>
        <w:pStyle w:val="FirstParagraph"/>
      </w:pPr>
      <w:r>
        <w:t xml:space="preserve">Lilly is no longer solely an obesity story. Investors should look for continued momentum in: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Ebglyss</w:t>
      </w:r>
      <w:r>
        <w:t xml:space="preserve"> </w:t>
      </w:r>
      <w:r>
        <w:t xml:space="preserve">in atopic dermatitis;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Jaypirca</w:t>
      </w:r>
      <w:r>
        <w:t xml:space="preserve"> </w:t>
      </w:r>
      <w:r>
        <w:t xml:space="preserve">in CLL/SLL;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Kisunla</w:t>
      </w:r>
      <w:r>
        <w:t xml:space="preserve"> </w:t>
      </w:r>
      <w:r>
        <w:t xml:space="preserve">in Alzheimer’s disease, including the European launch trajectory;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Omvoh</w:t>
      </w:r>
      <w:r>
        <w:t xml:space="preserve"> </w:t>
      </w:r>
      <w:r>
        <w:t xml:space="preserve">and other immunology products;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Inluriyo</w:t>
      </w:r>
      <w:r>
        <w:t xml:space="preserve">, where Lilly reported more than 35% share of observed new patient starts in metastatic breast cancer during its first full launch quarter.</w:t>
      </w:r>
    </w:p>
    <w:p>
      <w:pPr>
        <w:pStyle w:val="FirstParagraph"/>
      </w:pPr>
      <w:r>
        <w:t xml:space="preserve">These products matter because they diversify Lilly’s revenue base and support the argument that the company can remain a superior-growth large-cap pharma company even outside cardiometabolic health.</w:t>
      </w:r>
    </w:p>
    <w:bookmarkEnd w:id="21"/>
    <w:bookmarkStart w:id="22" w:name="medicare-bridge-program"/>
    <w:p>
      <w:pPr>
        <w:pStyle w:val="Heading3"/>
      </w:pPr>
      <w:r>
        <w:t xml:space="preserve">Medicare Bridge program</w:t>
      </w:r>
    </w:p>
    <w:p>
      <w:pPr>
        <w:pStyle w:val="FirstParagraph"/>
      </w:pPr>
      <w:r>
        <w:t xml:space="preserve">The Medicare obesity-drug access program activated in July, after Q2 ended. It should not materially affect reported Q2 sales, but management’s early commentary on physician readiness, prior-authorization friction, patient activation, and expected H2 cadence could influence estimates materially.</w:t>
      </w:r>
    </w:p>
    <w:bookmarkEnd w:id="22"/>
    <w:bookmarkStart w:id="23" w:name="novo-nordisk-litigation"/>
    <w:p>
      <w:pPr>
        <w:pStyle w:val="Heading3"/>
      </w:pPr>
      <w:r>
        <w:t xml:space="preserve">Novo Nordisk litigation</w:t>
      </w:r>
    </w:p>
    <w:p>
      <w:pPr>
        <w:pStyle w:val="FirstParagraph"/>
      </w:pPr>
      <w:r>
        <w:t xml:space="preserve">Novo Nordisk has sought to block certain Lilly advertising for Zepbound and Mounjaro, alleging misleading comparisons. Lilly disputes the claims. This appears unlikely to be a near-term fundamental earnings issue, but it is a headline and commercial-execution risk worth monitoring.</w:t>
      </w:r>
    </w:p>
    <w:p>
      <w:r>
        <w:pict>
          <v:rect style="width:0;height:1.5pt" o:hralign="center" o:hrstd="t" o:hr="t"/>
        </w:pict>
      </w:r>
    </w:p>
    <w:bookmarkEnd w:id="23"/>
    <w:bookmarkEnd w:id="24"/>
    <w:bookmarkStart w:id="27" w:name="key-bull-and-bear-cases-into-the-print"/>
    <w:p>
      <w:pPr>
        <w:pStyle w:val="Heading2"/>
      </w:pPr>
      <w:r>
        <w:t xml:space="preserve">Key bull and bear cases into the print</w:t>
      </w:r>
    </w:p>
    <w:bookmarkStart w:id="25" w:name="bull-case"/>
    <w:p>
      <w:pPr>
        <w:pStyle w:val="Heading3"/>
      </w:pPr>
      <w:r>
        <w:t xml:space="preserve">Bull case</w:t>
      </w:r>
    </w:p>
    <w:p>
      <w:pPr>
        <w:pStyle w:val="Compact"/>
        <w:numPr>
          <w:ilvl w:val="0"/>
          <w:numId w:val="1011"/>
        </w:numPr>
      </w:pPr>
      <w:r>
        <w:t xml:space="preserve">Mounjaro international demand remains structurally stronger than anticipated;</w:t>
      </w:r>
    </w:p>
    <w:p>
      <w:pPr>
        <w:pStyle w:val="Compact"/>
        <w:numPr>
          <w:ilvl w:val="0"/>
          <w:numId w:val="1011"/>
        </w:numPr>
      </w:pPr>
      <w:r>
        <w:t xml:space="preserve">Zepbound volume growth more than offsets price concessions;</w:t>
      </w:r>
    </w:p>
    <w:p>
      <w:pPr>
        <w:pStyle w:val="Compact"/>
        <w:numPr>
          <w:ilvl w:val="0"/>
          <w:numId w:val="1011"/>
        </w:numPr>
      </w:pPr>
      <w:r>
        <w:t xml:space="preserve">Foundayo shows early evidence of category expansion, not cannibalization;</w:t>
      </w:r>
    </w:p>
    <w:p>
      <w:pPr>
        <w:pStyle w:val="Compact"/>
        <w:numPr>
          <w:ilvl w:val="0"/>
          <w:numId w:val="1011"/>
        </w:numPr>
      </w:pPr>
      <w:r>
        <w:t xml:space="preserve">Lilly raises revenue and EPS guidance again;</w:t>
      </w:r>
    </w:p>
    <w:p>
      <w:pPr>
        <w:pStyle w:val="Compact"/>
        <w:numPr>
          <w:ilvl w:val="0"/>
          <w:numId w:val="1011"/>
        </w:numPr>
      </w:pPr>
      <w:r>
        <w:t xml:space="preserve">Margin performance demonstrates the scalability of the obesity franchise;</w:t>
      </w:r>
    </w:p>
    <w:p>
      <w:pPr>
        <w:pStyle w:val="Compact"/>
        <w:numPr>
          <w:ilvl w:val="0"/>
          <w:numId w:val="1011"/>
        </w:numPr>
      </w:pPr>
      <w:r>
        <w:t xml:space="preserve">Management provides credible early-2027 retatrutide filing and launch-planning detail.</w:t>
      </w:r>
    </w:p>
    <w:bookmarkEnd w:id="25"/>
    <w:bookmarkStart w:id="26" w:name="bear-case"/>
    <w:p>
      <w:pPr>
        <w:pStyle w:val="Heading3"/>
      </w:pPr>
      <w:r>
        <w:t xml:space="preserve">Bear case</w:t>
      </w:r>
    </w:p>
    <w:p>
      <w:pPr>
        <w:pStyle w:val="Compact"/>
        <w:numPr>
          <w:ilvl w:val="0"/>
          <w:numId w:val="1012"/>
        </w:numPr>
      </w:pPr>
      <w:r>
        <w:t xml:space="preserve">International Mounjaro growth normalizes sharply after China reimbursement-related acceleration;</w:t>
      </w:r>
    </w:p>
    <w:p>
      <w:pPr>
        <w:pStyle w:val="Compact"/>
        <w:numPr>
          <w:ilvl w:val="0"/>
          <w:numId w:val="1012"/>
        </w:numPr>
      </w:pPr>
      <w:r>
        <w:t xml:space="preserve">U.S. price erosion is worse than expected, particularly in self-pay and payer-negotiated channels;</w:t>
      </w:r>
    </w:p>
    <w:p>
      <w:pPr>
        <w:pStyle w:val="Compact"/>
        <w:numPr>
          <w:ilvl w:val="0"/>
          <w:numId w:val="1012"/>
        </w:numPr>
      </w:pPr>
      <w:r>
        <w:t xml:space="preserve">Zepbound prescription growth slows as access, affordability, or competition become more challenging;</w:t>
      </w:r>
    </w:p>
    <w:p>
      <w:pPr>
        <w:pStyle w:val="Compact"/>
        <w:numPr>
          <w:ilvl w:val="0"/>
          <w:numId w:val="1012"/>
        </w:numPr>
      </w:pPr>
      <w:r>
        <w:t xml:space="preserve">Foundayo uptake is less compelling than the market expects;</w:t>
      </w:r>
    </w:p>
    <w:p>
      <w:pPr>
        <w:pStyle w:val="Compact"/>
        <w:numPr>
          <w:ilvl w:val="0"/>
          <w:numId w:val="1012"/>
        </w:numPr>
      </w:pPr>
      <w:r>
        <w:t xml:space="preserve">Elevated launch, R&amp;D, and M&amp;A costs dilute margin upside;</w:t>
      </w:r>
    </w:p>
    <w:p>
      <w:pPr>
        <w:pStyle w:val="Compact"/>
        <w:numPr>
          <w:ilvl w:val="0"/>
          <w:numId w:val="1012"/>
        </w:numPr>
      </w:pPr>
      <w:r>
        <w:t xml:space="preserve">Guidance is maintained rather than raised despite a headline beat.</w:t>
      </w:r>
    </w:p>
    <w:p>
      <w:r>
        <w:pict>
          <v:rect style="width:0;height:1.5pt" o:hralign="center" o:hrstd="t" o:hr="t"/>
        </w:pict>
      </w:r>
    </w:p>
    <w:bookmarkEnd w:id="26"/>
    <w:bookmarkEnd w:id="27"/>
    <w:bookmarkStart w:id="28" w:name="X9116bec721e8ecc27edd7ff5882de2109353ab2"/>
    <w:p>
      <w:pPr>
        <w:pStyle w:val="Heading2"/>
      </w:pPr>
      <w:r>
        <w:t xml:space="preserve">Questions investors should ask on the call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What was the sequential volume, price, and mix contribution for Mounjaro and Zepbound?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How durable is the international Mounjaro growth rate after the China reimbursement ramp?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What is the current self-pay mix for Zepbound, and how is that affecting net price per prescription?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What are Foundayo’s prescription, prescriber, payer-access, and new-to-class trends through July?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What contribution does management expect from the Medicare Bridge program in H2 2026 and 2027?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Is the low-to-mid-teens full-year price headwind still the appropriate planning assumption?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What drove the retatrutide filing timeline now being described as early 2027?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How should investors think about the balance between margin expansion, pipeline investment, M&amp;A, dividends, and buybacks?</w:t>
      </w:r>
    </w:p>
    <w:p>
      <w:r>
        <w:pict>
          <v:rect style="width:0;height:1.5pt" o:hralign="center" o:hrstd="t" o:hr="t"/>
        </w:pict>
      </w:r>
    </w:p>
    <w:bookmarkEnd w:id="28"/>
    <w:bookmarkStart w:id="29" w:name="takeaway"/>
    <w:p>
      <w:pPr>
        <w:pStyle w:val="Heading2"/>
      </w:pPr>
      <w:r>
        <w:t xml:space="preserve">Takeaway</w:t>
      </w:r>
    </w:p>
    <w:p>
      <w:pPr>
        <w:pStyle w:val="FirstParagraph"/>
      </w:pPr>
      <w:r>
        <w:t xml:space="preserve">LLY’s Q2 report is primarily a test of</w:t>
      </w:r>
      <w:r>
        <w:t xml:space="preserve"> </w:t>
      </w:r>
      <w:r>
        <w:rPr>
          <w:b/>
          <w:bCs/>
        </w:rPr>
        <w:t xml:space="preserve">durability, not discovery</w:t>
      </w:r>
      <w:r>
        <w:t xml:space="preserve">. The company has already proved it can generate extraordinary growth; now it must demonstrate that its volume-led model remains intact as access broadens and net prices decline.</w:t>
      </w:r>
    </w:p>
    <w:p>
      <w:pPr>
        <w:pStyle w:val="BodyText"/>
      </w:pPr>
      <w:r>
        <w:t xml:space="preserve">A strong outcome would be characterized by sustained tirzepatide demand, resilient international Mounjaro sales, early Foundayo traction, contained margin pressure, and a guidance raise or at least more confident H2 framing. The most important negative signal would be a widening gap between prescription growth and net sales growth—evidence that pricing concessions are beginning to outrun the incremental patient opportunity.</w:t>
      </w:r>
    </w:p>
    <w:bookmarkEnd w:id="29"/>
    <w:bookmarkEnd w:id="3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2026-08-05T00:31:18Z</dcterms:created>
  <dcterms:modified xsi:type="dcterms:W3CDTF">2026-08-05T00:31:18Z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