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ly-earnings-predictions--2026-08-05"/>
    <w:p>
      <w:pPr>
        <w:pStyle w:val="Heading1"/>
      </w:pPr>
      <w:r>
        <w:t xml:space="preserve">LLY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~$21.5B vs. cons $20.62B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Mounjaro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~$9.4B vs. cons $8.88B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Foundayo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~$110M vs. cons $101M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86</m:t>
              </m:r>
              <m:r>
                <m:rPr>
                  <m:sty m:val="p"/>
                </m:rPr>
                <m:t>−</m:t>
              </m:r>
              <m:r>
                <m:t>89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87.5B) vs. cons $85.4B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37</m:t>
              </m:r>
              <m:r>
                <m:rPr>
                  <m:sty m:val="p"/>
                </m:rPr>
                <m:t>−</m:t>
              </m:r>
              <m:r>
                <m:t>39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38) vs. cons $34.83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Foundayo FY tone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More constructive vs. tracking to expectations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estimate revisions post-print drive continued drift; EPS bar was cut 24% pre-print, FY raise pushes FY EPS consensus up meaningfully; short covering (10.3M shares, 4.07 DTC) provides incremental bid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2026-08-07T02:02:09Z</dcterms:created>
  <dcterms:modified xsi:type="dcterms:W3CDTF">2026-08-07T02:02:09Z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