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MCD before writing the preview. Let me start by gathering recent earnings materials, filings, and news.Let me read the most recent earnings materials (2026Q1) and gather more context.Let me get the year-ago quarter (2025Q2) release for comparison, broader recent news, and the stock price trajectory.Let me pull the FY2026 guidance targets from the Q4 2025 release and search for recent news on the cyclospora outbreak and analyst setup.Let me read the recent news video and get broader July news context to understand the consumer/cyclospora narrative.# McDonald's (MCD) — Q2 2026 Earnings Preview</w:t>
      </w:r>
    </w:p>
    <w:bookmarkStart w:id="9" w:name="Xe403d60cd6e62ff92dafefb1fc59b847586676f"/>
    <w:p>
      <w:pPr>
        <w:pStyle w:val="Heading3"/>
      </w:pPr>
      <w:r>
        <w:t xml:space="preserve">Reports Tuesday, August 4, 2026 (before U.S. open) | 2026Q2 Investor Call</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This is a</w:t>
      </w:r>
      <w:r>
        <w:t xml:space="preserve"> </w:t>
      </w:r>
      <w:r>
        <w:rPr>
          <w:b/>
          <w:bCs/>
        </w:rPr>
        <w:t xml:space="preserve">"beat a lowered bar"</w:t>
      </w:r>
      <w:r>
        <w:t xml:space="preserve"> </w:t>
      </w:r>
      <w:r>
        <w:t xml:space="preserve">quarter. Management pre-announced that Q2 would decelerate sharply, the stock has already de-rated hard, and a fresh food-safety/consumer-spending overhang has entered the narrative. The print itself matters less than the tone on</w:t>
      </w:r>
      <w:r>
        <w:t xml:space="preserve"> </w:t>
      </w:r>
      <w:r>
        <w:rPr>
          <w:b/>
          <w:bCs/>
        </w:rPr>
        <w:t xml:space="preserve">June/July exit trends, the U.S. company-operated margin problem, and the September 23 Investor Day</w:t>
      </w:r>
      <w:r>
        <w:t xml:space="preserve">.</w:t>
      </w:r>
    </w:p>
    <w:p>
      <w:r>
        <w:pict>
          <v:rect style="width:0;height:1.5pt" o:hralign="center" o:hrstd="t" o:hr="t"/>
        </w:pict>
      </w:r>
    </w:p>
    <w:bookmarkEnd w:id="10"/>
    <w:bookmarkStart w:id="11" w:name="what-the-street-is-looking-for"/>
    <w:p>
      <w:pPr>
        <w:pStyle w:val="Heading2"/>
      </w:pPr>
      <w:r>
        <w:t xml:space="preserve">What the Street is looking for</w:t>
      </w:r>
    </w:p>
    <w:p>
      <w:pPr>
        <w:pStyle w:val="FirstParagraph"/>
      </w:pPr>
      <w:r>
        <w:t xml:space="preserve">Based on recent sell-side commentary, consensus for Q2 is roughly: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 (YoY comp)</w:t>
            </w:r>
          </w:p>
        </w:tc>
      </w:tr>
      <w:tr>
        <w:tc>
          <w:tcPr/>
          <w:p>
            <w:pPr>
              <w:pStyle w:val="Compact"/>
            </w:pPr>
            <w:r>
              <w:t xml:space="preserve">Global comparable sales</w:t>
            </w:r>
          </w:p>
        </w:tc>
        <w:tc>
          <w:tcPr/>
          <w:p>
            <w:pPr>
              <w:pStyle w:val="Compact"/>
            </w:pPr>
            <w:r>
              <w:rPr>
                <w:b/>
                <w:bCs/>
              </w:rPr>
              <w:t xml:space="preserve">~+1.4%</w:t>
            </w:r>
          </w:p>
        </w:tc>
        <w:tc>
          <w:tcPr/>
          <w:p>
            <w:pPr>
              <w:pStyle w:val="Compact"/>
            </w:pPr>
            <w:r>
              <w:t xml:space="preserve">+3.8%</w:t>
            </w:r>
          </w:p>
        </w:tc>
      </w:tr>
      <w:tr>
        <w:tc>
          <w:tcPr/>
          <w:p>
            <w:pPr>
              <w:pStyle w:val="Compact"/>
            </w:pPr>
            <w:r>
              <w:t xml:space="preserve">U.S. comparable sales</w:t>
            </w:r>
          </w:p>
        </w:tc>
        <w:tc>
          <w:tcPr/>
          <w:p>
            <w:pPr>
              <w:pStyle w:val="Compact"/>
            </w:pPr>
            <w:r>
              <w:rPr>
                <w:b/>
                <w:bCs/>
              </w:rPr>
              <w:t xml:space="preserve">~+0.95%</w:t>
            </w:r>
          </w:p>
        </w:tc>
        <w:tc>
          <w:tcPr/>
          <w:p>
            <w:pPr>
              <w:pStyle w:val="Compact"/>
            </w:pPr>
            <w:r>
              <w:t xml:space="preserve">+2.5%</w:t>
            </w:r>
          </w:p>
        </w:tc>
      </w:tr>
      <w:tr>
        <w:tc>
          <w:tcPr/>
          <w:p>
            <w:pPr>
              <w:pStyle w:val="Compact"/>
            </w:pPr>
            <w:r>
              <w:t xml:space="preserve">Adjusted operating margin</w:t>
            </w:r>
          </w:p>
        </w:tc>
        <w:tc>
          <w:tcPr/>
          <w:p>
            <w:pPr>
              <w:pStyle w:val="Compact"/>
            </w:pPr>
            <w:r>
              <w:rPr>
                <w:b/>
                <w:bCs/>
              </w:rPr>
              <w:t xml:space="preserve">~45.2%</w:t>
            </w:r>
          </w:p>
        </w:tc>
        <w:tc>
          <w:tcPr/>
          <w:p>
            <w:pPr>
              <w:pStyle w:val="Compact"/>
            </w:pPr>
            <w:r>
              <w:t xml:space="preserve">~47% (Q2'25 op inc $3.23B)</w:t>
            </w:r>
          </w:p>
        </w:tc>
      </w:tr>
      <w:tr>
        <w:tc>
          <w:tcPr/>
          <w:p>
            <w:pPr>
              <w:pStyle w:val="Compact"/>
            </w:pPr>
            <w:r>
              <w:t xml:space="preserve">Adjusted EPS</w:t>
            </w:r>
          </w:p>
        </w:tc>
        <w:tc>
          <w:tcPr/>
          <w:p>
            <w:pPr>
              <w:pStyle w:val="Compact"/>
            </w:pPr>
            <w:r>
              <w:rPr>
                <w:b/>
                <w:bCs/>
              </w:rPr>
              <w:t xml:space="preserve">~$3.32</w:t>
            </w:r>
          </w:p>
        </w:tc>
        <w:tc>
          <w:tcPr/>
          <w:p>
            <w:pPr>
              <w:pStyle w:val="Compact"/>
            </w:pPr>
            <w:r>
              <w:t xml:space="preserve">$3.19 adj / $3.14 GAAP</w:t>
            </w:r>
          </w:p>
        </w:tc>
      </w:tr>
    </w:tbl>
    <w:p>
      <w:pPr>
        <w:pStyle w:val="BodyText"/>
      </w:pPr>
      <w:r>
        <w:t xml:space="preserve">The Street is modeling total comparable sales of +1.4% (including US at +0.95%), operating margins of 45.2%, and EPS of $3.32 for the quarter. That EPS would be ~+4% YoY vs. the $3.19 adjusted base, aided by a currency tailwind (management guided FX to add</w:t>
      </w:r>
      <w:r>
        <w:t xml:space="preserve"> </w:t>
      </w:r>
      <m:oMath>
        <m:r>
          <m:t>0.20</m:t>
        </m:r>
        <m:r>
          <m:rPr>
            <m:sty m:val="p"/>
          </m:rPr>
          <m:t>–</m:t>
        </m:r>
      </m:oMath>
      <w:r>
        <w:t xml:space="preserve">0.30 to full-year 2026 EPS).</w:t>
      </w:r>
    </w:p>
    <w:p>
      <w:r>
        <w:pict>
          <v:rect style="width:0;height:1.5pt" o:hralign="center" o:hrstd="t" o:hr="t"/>
        </w:pict>
      </w:r>
    </w:p>
    <w:bookmarkEnd w:id="11"/>
    <w:bookmarkStart w:id="12" w:name="why-the-bar-is-deliberately-low"/>
    <w:p>
      <w:pPr>
        <w:pStyle w:val="Heading2"/>
      </w:pPr>
      <w:r>
        <w:t xml:space="preserve">Why the bar is (deliberately) low</w:t>
      </w:r>
    </w:p>
    <w:p>
      <w:pPr>
        <w:pStyle w:val="FirstParagraph"/>
      </w:pPr>
      <w:r>
        <w:t xml:space="preserve">This is the most important context going in. On the Q1 call (May 7), CFO Ian Borden explicitly steered Q2 down:</w:t>
      </w:r>
    </w:p>
    <w:p>
      <w:pPr>
        <w:pStyle w:val="Compact"/>
        <w:numPr>
          <w:ilvl w:val="0"/>
          <w:numId w:val="1001"/>
        </w:numPr>
      </w:pPr>
      <w:r>
        <w:rPr>
          <w:b/>
          <w:bCs/>
        </w:rPr>
        <w:t xml:space="preserve">April was pre-flagged as a bad comp month</w:t>
      </w:r>
      <w:r>
        <w:t xml:space="preserve"> </w:t>
      </w:r>
      <w:r>
        <w:t xml:space="preserve">— MCD lapped last year's blockbuster global Minecraft promotion, and</w:t>
      </w:r>
      <w:r>
        <w:t xml:space="preserve"> </w:t>
      </w:r>
      <w:r>
        <w:rPr>
          <w:b/>
          <w:bCs/>
        </w:rPr>
        <w:t xml:space="preserve">comps in both the U.S. and International Operated Markets (IOM) were slightly negative in April.</w:t>
      </w:r>
    </w:p>
    <w:p>
      <w:pPr>
        <w:pStyle w:val="Compact"/>
        <w:numPr>
          <w:ilvl w:val="0"/>
          <w:numId w:val="1001"/>
        </w:numPr>
      </w:pPr>
      <w:r>
        <w:t xml:space="preserve">Management guided to a</w:t>
      </w:r>
      <w:r>
        <w:t xml:space="preserve"> </w:t>
      </w:r>
      <w:r>
        <w:rPr>
          <w:b/>
          <w:bCs/>
        </w:rPr>
        <w:t xml:space="preserve">"meaningful deceleration"</w:t>
      </w:r>
      <w:r>
        <w:t xml:space="preserve"> </w:t>
      </w:r>
      <w:r>
        <w:t xml:space="preserve">in Q2 from the +3.9% posted in both the U.S. and IOM in Q1 — while still claiming acceleration on a</w:t>
      </w:r>
      <w:r>
        <w:t xml:space="preserve"> </w:t>
      </w:r>
      <w:r>
        <w:rPr>
          <w:b/>
          <w:bCs/>
        </w:rPr>
        <w:t xml:space="preserve">2-year stacked basis</w:t>
      </w:r>
      <w:r>
        <w:t xml:space="preserve">.</w:t>
      </w:r>
    </w:p>
    <w:p>
      <w:pPr>
        <w:pStyle w:val="Compact"/>
        <w:numPr>
          <w:ilvl w:val="0"/>
          <w:numId w:val="1001"/>
        </w:numPr>
      </w:pPr>
      <w:r>
        <w:t xml:space="preserve">IDL (International Developmental Licensed) was also guided lower from +3.4%, reflecting Middle East and Asia volatility.</w:t>
      </w:r>
    </w:p>
    <w:p>
      <w:pPr>
        <w:pStyle w:val="FirstParagraph"/>
      </w:pPr>
      <w:r>
        <w:t xml:space="preserve">So a headline comp deceleration to ~+1% is</w:t>
      </w:r>
      <w:r>
        <w:t xml:space="preserve"> </w:t>
      </w:r>
      <w:r>
        <w:rPr>
          <w:i/>
          <w:iCs/>
        </w:rPr>
        <w:t xml:space="preserve">expected</w:t>
      </w:r>
      <w:r>
        <w:t xml:space="preserve">. The debate is whether the underlying trend re-accelerated after April, as management implied it would.</w:t>
      </w:r>
    </w:p>
    <w:p>
      <w:pPr>
        <w:pStyle w:val="BodyText"/>
      </w:pPr>
      <w:r>
        <w:t xml:space="preserve">Recent reporting suggests investors broadly like the operating story despite the macro: McDonald's is scheduled to report Q2 earnings before the US open, with investors generally viewing the operational story favorably. Management has pursued aggressive pricing to drive traffic and market share, though comparable sales growth is expected to decelerate in Q2 amid difficult year-over-year comparisons and a mixed macroeconomic backdrop.</w:t>
      </w:r>
    </w:p>
    <w:p>
      <w:r>
        <w:pict>
          <v:rect style="width:0;height:1.5pt" o:hralign="center" o:hrstd="t" o:hr="t"/>
        </w:pict>
      </w:r>
    </w:p>
    <w:bookmarkEnd w:id="12"/>
    <w:bookmarkStart w:id="13" w:name="X445b49adce65a0fa2a5e31cc8dc36fc9f774006"/>
    <w:p>
      <w:pPr>
        <w:pStyle w:val="Heading2"/>
      </w:pPr>
      <w:r>
        <w:t xml:space="preserve">The new wildcard: consumer pullback + food-safety overhang</w:t>
      </w:r>
    </w:p>
    <w:p>
      <w:pPr>
        <w:pStyle w:val="FirstParagraph"/>
      </w:pPr>
      <w:r>
        <w:t xml:space="preserve">A fresh element has appeared since the Q1 call. Third-party transaction/foot-traffic data flagged a demand hit tied to a produce-related</w:t>
      </w:r>
      <w:r>
        <w:t xml:space="preserve"> </w:t>
      </w:r>
      <w:r>
        <w:rPr>
          <w:b/>
          <w:bCs/>
        </w:rPr>
        <w:t xml:space="preserve">cyclospora outbreak</w:t>
      </w:r>
      <w:r>
        <w:t xml:space="preserve"> </w:t>
      </w:r>
      <w:r>
        <w:t xml:space="preserve">that dented the broader fast-food category:</w:t>
      </w:r>
    </w:p>
    <w:p>
      <w:pPr>
        <w:pStyle w:val="Compact"/>
        <w:numPr>
          <w:ilvl w:val="0"/>
          <w:numId w:val="1002"/>
        </w:numPr>
      </w:pPr>
      <w:r>
        <w:t xml:space="preserve">McDonald's experienced a consumer pullback during the cyclospora outbreak but is showing tentative signs of stabilization among fast-food restaurants. The CEO had previously signaled expectations of meaningful deceleration in the upcoming quarter.</w:t>
      </w:r>
    </w:p>
    <w:p>
      <w:pPr>
        <w:pStyle w:val="Compact"/>
        <w:numPr>
          <w:ilvl w:val="0"/>
          <w:numId w:val="1002"/>
        </w:numPr>
      </w:pPr>
      <w:r>
        <w:t xml:space="preserve">Encouragingly, MCD appears to have been</w:t>
      </w:r>
      <w:r>
        <w:t xml:space="preserve"> </w:t>
      </w:r>
      <w:r>
        <w:rPr>
          <w:b/>
          <w:bCs/>
        </w:rPr>
        <w:t xml:space="preserve">first into the pullback but also first to stabilize</w:t>
      </w:r>
      <w:r>
        <w:t xml:space="preserve"> </w:t>
      </w:r>
      <w:r>
        <w:t xml:space="preserve">— a potential relative-strength signal, though it may weigh more on the</w:t>
      </w:r>
      <w:r>
        <w:t xml:space="preserve"> </w:t>
      </w:r>
      <w:r>
        <w:rPr>
          <w:i/>
          <w:iCs/>
        </w:rPr>
        <w:t xml:space="preserve">forward</w:t>
      </w:r>
      <w:r>
        <w:t xml:space="preserve"> </w:t>
      </w:r>
      <w:r>
        <w:t xml:space="preserve">outlook than on the Q2 print itself.</w:t>
      </w:r>
    </w:p>
    <w:p>
      <w:pPr>
        <w:pStyle w:val="Compact"/>
        <w:numPr>
          <w:ilvl w:val="0"/>
          <w:numId w:val="1002"/>
        </w:numPr>
      </w:pPr>
      <w:r>
        <w:t xml:space="preserve">Analysts expect discussion of challenges facing U.S. consumers, including elevated prices from oil spikes and reduced appetite for discretionary spending, which could weigh on demand.</w:t>
      </w:r>
    </w:p>
    <w:p>
      <w:pPr>
        <w:pStyle w:val="FirstParagraph"/>
      </w:pPr>
      <w:r>
        <w:t xml:space="preserve">On Q1, management already characterized the low-income consumer as</w:t>
      </w:r>
      <w:r>
        <w:t xml:space="preserve"> </w:t>
      </w:r>
      <w:r>
        <w:rPr>
          <w:b/>
          <w:bCs/>
        </w:rPr>
        <w:t xml:space="preserve">still declining</w:t>
      </w:r>
      <w:r>
        <w:t xml:space="preserve"> </w:t>
      </w:r>
      <w:r>
        <w:t xml:space="preserve">(though less severe than the high-single-digit drops of a year prior), with high-income spend resilient, and flagged that elevated gas prices disproportionately hurt MCD's core low-income base. Watch for whether that bifurcation widened in Q2.</w:t>
      </w:r>
    </w:p>
    <w:p>
      <w:r>
        <w:pict>
          <v:rect style="width:0;height:1.5pt" o:hralign="center" o:hrstd="t" o:hr="t"/>
        </w:pict>
      </w:r>
    </w:p>
    <w:bookmarkEnd w:id="13"/>
    <w:bookmarkStart w:id="14" w:name="key-things-to-watch-on-the-print--call"/>
    <w:p>
      <w:pPr>
        <w:pStyle w:val="Heading2"/>
      </w:pPr>
      <w:r>
        <w:t xml:space="preserve">Key things to watch on the print &amp; call</w:t>
      </w:r>
    </w:p>
    <w:p>
      <w:pPr>
        <w:pStyle w:val="FirstParagraph"/>
      </w:pPr>
      <w:r>
        <w:rPr>
          <w:b/>
          <w:bCs/>
        </w:rPr>
        <w:t xml:space="preserve">1. U.S. exit rate (June/July).</w:t>
      </w:r>
      <w:r>
        <w:t xml:space="preserve"> </w:t>
      </w:r>
      <w:r>
        <w:t xml:space="preserve">With April a known drag, the market wants proof the U.S. re-accelerated. Drivers to size: the</w:t>
      </w:r>
      <w:r>
        <w:t xml:space="preserve"> </w:t>
      </w:r>
      <w:r>
        <w:rPr>
          <w:b/>
          <w:bCs/>
        </w:rPr>
        <w:t xml:space="preserve">McValue 2.0</w:t>
      </w:r>
      <w:r>
        <w:t xml:space="preserve"> </w:t>
      </w:r>
      <w:r>
        <w:t xml:space="preserve">relaunch (mid-April) — an under-$3 everyday-affordable menu plus a $4 breakfast meal deal layered on the existing</w:t>
      </w:r>
      <w:r>
        <w:t xml:space="preserve"> </w:t>
      </w:r>
      <m:oMath>
        <m:r>
          <m:t>5</m:t>
        </m:r>
        <m:r>
          <m:rPr>
            <m:sty m:val="p"/>
          </m:rPr>
          <m:t>/</m:t>
        </m:r>
      </m:oMath>
      <w:r>
        <w:t xml:space="preserve">6 meal deals — and the nationwide</w:t>
      </w:r>
      <w:r>
        <w:t xml:space="preserve"> </w:t>
      </w:r>
      <w:r>
        <w:rPr>
          <w:b/>
          <w:bCs/>
        </w:rPr>
        <w:t xml:space="preserve">McCafé beverage platform</w:t>
      </w:r>
      <w:r>
        <w:t xml:space="preserve"> </w:t>
      </w:r>
      <w:r>
        <w:t xml:space="preserve">(refreshers, crafted sodas, with Red Bull energy drinks still to come later in 2026). Management called early McValue and beverage reads "in line with expectations."</w:t>
      </w:r>
    </w:p>
    <w:p>
      <w:pPr>
        <w:pStyle w:val="BodyText"/>
      </w:pPr>
      <w:r>
        <w:rPr>
          <w:b/>
          <w:bCs/>
        </w:rPr>
        <w:t xml:space="preserve">2. The U.S. company-operated (McOpCo) margin problem.</w:t>
      </w:r>
      <w:r>
        <w:t xml:space="preserve"> </w:t>
      </w:r>
      <w:r>
        <w:t xml:space="preserve">This is the single biggest self-inflicted issue. Management bluntly called Q1 U.S. McOpCo margins</w:t>
      </w:r>
      <w:r>
        <w:t xml:space="preserve"> </w:t>
      </w:r>
      <w:r>
        <w:rPr>
          <w:b/>
          <w:bCs/>
        </w:rPr>
        <w:t xml:space="preserve">"not acceptable,"</w:t>
      </w:r>
      <w:r>
        <w:t xml:space="preserve"> </w:t>
      </w:r>
      <w:r>
        <w:t xml:space="preserve">attributing it to added labor combined with overly conservative pricing. They opened the door to</w:t>
      </w:r>
      <w:r>
        <w:t xml:space="preserve"> </w:t>
      </w:r>
      <w:r>
        <w:rPr>
          <w:b/>
          <w:bCs/>
        </w:rPr>
        <w:t xml:space="preserve">refranchising</w:t>
      </w:r>
      <w:r>
        <w:t xml:space="preserve"> </w:t>
      </w:r>
      <w:r>
        <w:t xml:space="preserve">("revisiting the optimal franchisee vs. company ownership balance") and said any structural change would be addressed at Investor Day. Any Q2 update here is a swing factor for margin sentiment.</w:t>
      </w:r>
    </w:p>
    <w:p>
      <w:pPr>
        <w:pStyle w:val="BodyText"/>
      </w:pPr>
      <w:r>
        <w:rPr>
          <w:b/>
          <w:bCs/>
        </w:rPr>
        <w:t xml:space="preserve">3. Beef &amp; input-cost inflation.</w:t>
      </w:r>
      <w:r>
        <w:t xml:space="preserve"> </w:t>
      </w:r>
      <w:r>
        <w:t xml:space="preserve">Beef prices are at historic highs, pressuring both franchisee cash flow and margins (especially in Europe). Guidance framework: U.S. food &amp; paper inflation low-to-mid single digits, IOM mid-single. Management flagged</w:t>
      </w:r>
      <w:r>
        <w:t xml:space="preserve"> </w:t>
      </w:r>
      <w:r>
        <w:rPr>
          <w:b/>
          <w:bCs/>
        </w:rPr>
        <w:t xml:space="preserve">rising risk of higher inflation into late-2026/2027</w:t>
      </w:r>
      <w:r>
        <w:t xml:space="preserve"> </w:t>
      </w:r>
      <w:r>
        <w:t xml:space="preserve">from supply-chain and Middle East disruption. The beef/chicken dynamic is a tailwind for MCD's under-indexed chicken business (~high-teens share vs. mid-40s in beef).</w:t>
      </w:r>
    </w:p>
    <w:p>
      <w:pPr>
        <w:pStyle w:val="BodyText"/>
      </w:pPr>
      <w:r>
        <w:rPr>
          <w:b/>
          <w:bCs/>
        </w:rPr>
        <w:t xml:space="preserve">4. International trajectory.</w:t>
      </w:r>
      <w:r>
        <w:t xml:space="preserve"> </w:t>
      </w:r>
      <w:r>
        <w:t xml:space="preserve">The U.K., Germany and Australia have been the standout mid-to-high-single-digit share-gainers;</w:t>
      </w:r>
      <w:r>
        <w:t xml:space="preserve"> </w:t>
      </w:r>
      <w:r>
        <w:rPr>
          <w:b/>
          <w:bCs/>
        </w:rPr>
        <w:t xml:space="preserve">France remains the problem child</w:t>
      </w:r>
      <w:r>
        <w:t xml:space="preserve"> </w:t>
      </w:r>
      <w:r>
        <w:t xml:space="preserve">(new value platform just launched). Watch IDL for Middle East/Japan/China commentary — MCD reaffirmed ~1,000 new China openings in 2026.</w:t>
      </w:r>
    </w:p>
    <w:p>
      <w:pPr>
        <w:pStyle w:val="BodyText"/>
      </w:pPr>
      <w:r>
        <w:rPr>
          <w:b/>
          <w:bCs/>
        </w:rPr>
        <w:t xml:space="preserve">5. FIFA World Cup (June, in North America).</w:t>
      </w:r>
      <w:r>
        <w:t xml:space="preserve"> </w:t>
      </w:r>
      <w:r>
        <w:t xml:space="preserve">A potential Q2/Q3 traffic and digital/loyalty catalyst that management is leaning on. Loyalty is already ~210M 90-day active users and ~$38B TTM systemwide sales.</w:t>
      </w:r>
    </w:p>
    <w:p>
      <w:pPr>
        <w:pStyle w:val="BodyText"/>
      </w:pPr>
      <w:r>
        <w:rPr>
          <w:b/>
          <w:bCs/>
        </w:rPr>
        <w:t xml:space="preserve">6. Guidance &amp; framing.</w:t>
      </w:r>
      <w:r>
        <w:t xml:space="preserve"> </w:t>
      </w:r>
      <w:r>
        <w:t xml:space="preserve">MCD reaffirmed full-year 2026 targets on the Q1 call. Any change — or hedging language on the second half given the consumer softening — will move the stock.</w:t>
      </w:r>
      <w:r>
        <w:t xml:space="preserve"> </w:t>
      </w:r>
      <w:r>
        <w:rPr>
          <w:b/>
          <w:bCs/>
        </w:rPr>
        <w:t xml:space="preserve">The bigger event is the September 23 Investor Day in Chicago</w:t>
      </w:r>
      <w:r>
        <w:t xml:space="preserve">, where refranchising, the U.S. remodel cycle, and development targets (path to ~50,000 units by end-2027) will be detailed.</w:t>
      </w:r>
    </w:p>
    <w:p>
      <w:r>
        <w:pict>
          <v:rect style="width:0;height:1.5pt" o:hralign="center" o:hrstd="t" o:hr="t"/>
        </w:pict>
      </w:r>
    </w:p>
    <w:bookmarkEnd w:id="14"/>
    <w:bookmarkStart w:id="15" w:name="stock-setup--sentiment"/>
    <w:p>
      <w:pPr>
        <w:pStyle w:val="Heading2"/>
      </w:pPr>
      <w:r>
        <w:t xml:space="preserve">Stock setup / sentiment</w:t>
      </w:r>
    </w:p>
    <w:p>
      <w:pPr>
        <w:pStyle w:val="FirstParagraph"/>
      </w:pPr>
      <w:r>
        <w:t xml:space="preserve">MCD has meaningfully underperformed heading into the print, which cushions downside if results are merely in line:</w:t>
      </w:r>
    </w:p>
    <w:p>
      <w:pPr>
        <w:pStyle w:val="Compact"/>
        <w:numPr>
          <w:ilvl w:val="0"/>
          <w:numId w:val="1003"/>
        </w:numPr>
      </w:pPr>
      <w:r>
        <w:rPr>
          <w:b/>
          <w:bCs/>
        </w:rPr>
        <w:t xml:space="preserve">~‑12.5% YTD</w:t>
      </w:r>
      <w:r>
        <w:t xml:space="preserve"> </w:t>
      </w:r>
      <w:r>
        <w:t xml:space="preserve">(≈$303 →</w:t>
      </w:r>
      <w:r>
        <w:t xml:space="preserve"> </w:t>
      </w:r>
      <m:oMath>
        <m:r>
          <m:t>265</m:t>
        </m:r>
        <m:r>
          <m:rPr>
            <m:sty m:val="p"/>
          </m:rPr>
          <m:t>)</m:t>
        </m:r>
        <m:r>
          <m:t>a</m:t>
        </m:r>
        <m:r>
          <m:t>n</m:t>
        </m:r>
        <m:r>
          <m:t>d</m:t>
        </m:r>
        <m:r>
          <m:rPr>
            <m:sty m:val="p"/>
          </m:rPr>
          <m:t>*</m:t>
        </m:r>
        <m:r>
          <m:rPr>
            <m:sty m:val="p"/>
          </m:rPr>
          <m:t>*</m:t>
        </m:r>
        <m:r>
          <m:t> </m:t>
        </m:r>
        <m:r>
          <m:rPr>
            <m:sty m:val="p"/>
          </m:rPr>
          <m:t>‑</m:t>
        </m:r>
        <m:r>
          <m:t>22</m:t>
        </m:r>
      </m:oMath>
      <w:r>
        <w:t xml:space="preserve">341).</w:t>
      </w:r>
    </w:p>
    <w:p>
      <w:pPr>
        <w:pStyle w:val="Compact"/>
        <w:numPr>
          <w:ilvl w:val="0"/>
          <w:numId w:val="1003"/>
        </w:numPr>
      </w:pPr>
      <w:r>
        <w:rPr>
          <w:b/>
          <w:bCs/>
        </w:rPr>
        <w:t xml:space="preserve">~‑6.5% since the May 7 Q1 print</w:t>
      </w:r>
      <w:r>
        <w:t xml:space="preserve">, with a steady grind lower through Q2 as consumer/macro worries built.</w:t>
      </w:r>
    </w:p>
    <w:p>
      <w:pPr>
        <w:pStyle w:val="Compact"/>
        <w:numPr>
          <w:ilvl w:val="0"/>
          <w:numId w:val="1003"/>
        </w:numPr>
      </w:pPr>
      <w:r>
        <w:t xml:space="preserve">Peers have been mixed-to-weak alongside it (YUM ~</w:t>
      </w:r>
      <m:oMath>
        <m:r>
          <m:t>149</m:t>
        </m:r>
        <m:r>
          <m:rPr>
            <m:sty m:val="p"/>
          </m:rPr>
          <m:t>,</m:t>
        </m:r>
        <m:r>
          <m:t>Q</m:t>
        </m:r>
        <m:r>
          <m:t>S</m:t>
        </m:r>
        <m:r>
          <m:t>R</m:t>
        </m:r>
        <m:r>
          <m:t> </m:t>
        </m:r>
      </m:oMath>
      <w:r>
        <w:t xml:space="preserve">73, WEN ~$7.5 as of Aug 3), suggesting a sector-wide QSR demand concern rather than an MCD-specific de-rating.</w:t>
      </w:r>
    </w:p>
    <w:p>
      <w:pPr>
        <w:pStyle w:val="FirstParagraph"/>
      </w:pPr>
      <w:r>
        <w:t xml:space="preserve">The defensive parts of the story remain intact: a **5% dividend increase to</w:t>
      </w:r>
      <w:r>
        <w:t xml:space="preserve"> </w:t>
      </w:r>
      <m:oMath>
        <m:r>
          <m:t>1.86</m:t>
        </m:r>
        <m:r>
          <m:rPr>
            <m:sty m:val="p"/>
          </m:rPr>
          <m:t>/</m:t>
        </m:r>
        <m:r>
          <m:t>q</m:t>
        </m:r>
        <m:r>
          <m:t>u</m:t>
        </m:r>
        <m:r>
          <m:t>a</m:t>
        </m:r>
        <m:r>
          <m:t>r</m:t>
        </m:r>
        <m:r>
          <m:t>t</m:t>
        </m:r>
        <m:r>
          <m:t>e</m:t>
        </m:r>
        <m:r>
          <m:t>r</m:t>
        </m:r>
        <m:r>
          <m:rPr>
            <m:sty m:val="p"/>
          </m:rPr>
          <m:t>*</m:t>
        </m:r>
        <m:r>
          <m:rPr>
            <m:sty m:val="p"/>
          </m:rPr>
          <m:t>*</m:t>
        </m:r>
        <m:r>
          <m:rPr>
            <m:sty m:val="p"/>
          </m:rPr>
          <m:t>(</m:t>
        </m:r>
        <m:r>
          <m:t>d</m:t>
        </m:r>
        <m:r>
          <m:t>e</m:t>
        </m:r>
        <m:r>
          <m:t>c</m:t>
        </m:r>
        <m:r>
          <m:t>l</m:t>
        </m:r>
        <m:r>
          <m:t>a</m:t>
        </m:r>
        <m:r>
          <m:t>r</m:t>
        </m:r>
        <m:r>
          <m:t>e</m:t>
        </m:r>
        <m:r>
          <m:t>d</m:t>
        </m:r>
        <m:r>
          <m:t>i</m:t>
        </m:r>
        <m:r>
          <m:t>n</m:t>
        </m:r>
        <m:r>
          <m:t>Q</m:t>
        </m:r>
        <m:sSup>
          <m:e>
            <m:r>
              <m:t>4</m:t>
            </m:r>
          </m:e>
          <m:sup>
            <m:r>
              <m:rPr>
                <m:sty m:val="p"/>
              </m:rPr>
              <m:t>′</m:t>
            </m:r>
          </m:sup>
        </m:sSup>
        <m:r>
          <m:t>25</m:t>
        </m:r>
        <m:r>
          <m:rPr>
            <m:sty m:val="p"/>
          </m:rPr>
          <m:t>)</m:t>
        </m:r>
        <m:r>
          <m:rPr>
            <m:sty m:val="p"/>
          </m:rPr>
          <m:t>,</m:t>
        </m:r>
        <m:r>
          <m:t> </m:t>
        </m:r>
      </m:oMath>
      <w:r>
        <w:t xml:space="preserve">7.2B 2025 free cash flow, ~95% franchised model, and a currency tailwind for 2026 EPS.</w:t>
      </w:r>
    </w:p>
    <w:p>
      <w:r>
        <w:pict>
          <v:rect style="width:0;height:1.5pt" o:hralign="center" o:hrstd="t" o:hr="t"/>
        </w:pict>
      </w:r>
    </w:p>
    <w:bookmarkEnd w:id="15"/>
    <w:bookmarkStart w:id="16" w:name="bottom-line--the-scorecard-for-tuesday"/>
    <w:p>
      <w:pPr>
        <w:pStyle w:val="Heading2"/>
      </w:pPr>
      <w:r>
        <w:t xml:space="preserve">Bottom line — the scorecard for Tuesday</w:t>
      </w:r>
    </w:p>
    <w:p>
      <w:pPr>
        <w:pStyle w:val="Compact"/>
        <w:numPr>
          <w:ilvl w:val="0"/>
          <w:numId w:val="1004"/>
        </w:numPr>
      </w:pPr>
      <w:r>
        <w:rPr>
          <w:b/>
          <w:bCs/>
        </w:rPr>
        <w:t xml:space="preserve">Bullish tells:</w:t>
      </w:r>
      <w:r>
        <w:t xml:space="preserve"> </w:t>
      </w:r>
      <w:r>
        <w:t xml:space="preserve">U.S. comp holds positive / better than the ~+1% bar; management confirms June–July re-acceleration and MCD-specific stabilization post-outbreak; a credible McOpCo margin fix or refranchising signal; reaffirmed FY targets with confident 2H tone.</w:t>
      </w:r>
    </w:p>
    <w:p>
      <w:pPr>
        <w:pStyle w:val="Compact"/>
        <w:numPr>
          <w:ilvl w:val="0"/>
          <w:numId w:val="1004"/>
        </w:numPr>
      </w:pPr>
      <w:r>
        <w:rPr>
          <w:b/>
          <w:bCs/>
        </w:rPr>
        <w:t xml:space="preserve">Bearish tells:</w:t>
      </w:r>
      <w:r>
        <w:t xml:space="preserve"> </w:t>
      </w:r>
      <w:r>
        <w:t xml:space="preserve">U.S. comp flat-to-negative; margins miss on beef/labor with weak pricing; cautious language on low-income consumer and a softer H2 outlook; any FY guidance trim.</w:t>
      </w:r>
    </w:p>
    <w:p>
      <w:pPr>
        <w:pStyle w:val="FirstParagraph"/>
      </w:pPr>
      <w:r>
        <w:t xml:space="preserve">Net: expectations are low and the stock is already washed out, so</w:t>
      </w:r>
      <w:r>
        <w:t xml:space="preserve"> </w:t>
      </w:r>
      <w:r>
        <w:rPr>
          <w:b/>
          <w:bCs/>
        </w:rPr>
        <w:t xml:space="preserve">the reaction likely hinges on the forward narrative — exit trends, the consumer, and margins — more than on the reported Q2 numbers.</w:t>
      </w:r>
      <w:r>
        <w:t xml:space="preserve"> </w:t>
      </w:r>
      <w:r>
        <w:t xml:space="preserve">The real strategic reset comes six weeks later at Investor Day.</w:t>
      </w:r>
    </w:p>
    <w:p>
      <w:pPr>
        <w:pStyle w:val="BodyText"/>
      </w:pPr>
      <w:r>
        <w:rPr>
          <w:i/>
          <w:iCs/>
        </w:rPr>
        <w:t xml:space="preserve">Note: All consensus figures are from recent press/sell-side commentary and are approximate; prior-period actuals are from MCD's earnings releases.</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2026-08-04T00:43:39Z</dcterms:created>
  <dcterms:modified xsi:type="dcterms:W3CDTF">2026-08-04T00:43:39Z</dcterms:modified>
</cp:coreProperties>
</file>

<file path=docProps/custom.xml><?xml version="1.0" encoding="utf-8"?>
<Properties xmlns="http://schemas.openxmlformats.org/officeDocument/2006/custom-properties" xmlns:vt="http://schemas.openxmlformats.org/officeDocument/2006/docPropsVTypes"/>
</file>