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15" w:name="mcdonalds-mcd-q2-2026-earnings-preview"/>
    <w:p>
      <w:pPr>
        <w:pStyle w:val="Heading1"/>
      </w:pPr>
      <w:r>
        <w:t xml:space="preserve">McDonald's (MCD) Q2 2026 Earnings Preview</w:t>
      </w:r>
    </w:p>
    <w:p>
      <w:pPr>
        <w:pStyle w:val="FirstParagraph"/>
      </w:pPr>
      <w:r>
        <w:rPr>
          <w:b/>
          <w:bCs/>
        </w:rPr>
        <w:t xml:space="preserve">Reports: Tuesday, August 4, 2026, before market open | Event: Q2 2026 Earnings Call</w:t>
      </w:r>
    </w:p>
    <w:bookmarkStart w:id="9" w:name="X365661b81e12a553a105a967d5ca5d916692f04"/>
    <w:p>
      <w:pPr>
        <w:pStyle w:val="Heading2"/>
      </w:pPr>
      <w:r>
        <w:t xml:space="preserve">Setup: A "show me" quarter after a strong start to the year</w:t>
      </w:r>
    </w:p>
    <w:p>
      <w:pPr>
        <w:pStyle w:val="FirstParagraph"/>
      </w:pPr>
      <w:r>
        <w:t xml:space="preserve">McDonald's heads into Tuesday's print carrying decent underlying momentum but facing a much tougher macro and comparison backdrop than it did in Q1. In the first quarter, McDonald's grew global comparable sales 3.8% (U.S. +3.9%, International Operated Markets +3.9%, International Developmental Licensed Markets +3.4%), posted non-GAAP EPS of $2.83 (including a $0.13 FX tailwind), and generated a 46.0% non-GAAP operating margin. Management said the company gained market share in nearly all of its top 10 markets during the quarter.</w:t>
      </w:r>
    </w:p>
    <w:p>
      <w:pPr>
        <w:pStyle w:val="BodyText"/>
      </w:pPr>
      <w:r>
        <w:t xml:space="preserve">Since then, the stock has drifted lower — from roughly $307 in early April to about $265 today, a decline of nearly 14% — even as the broader market has rallied on mega-cap tech earnings (Microsoft, Amazon). That underperformance suggests the market has already priced in a deceleration; the question for Tuesday is whether results confirm the softer trajectory management flagged, or whether they come in worse (or better) than the already-cautious setup.</w:t>
      </w:r>
    </w:p>
    <w:bookmarkEnd w:id="9"/>
    <w:bookmarkStart w:id="10" w:name="X19f6e8d56ab97bce17c15e08da889dbb9aa7382"/>
    <w:p>
      <w:pPr>
        <w:pStyle w:val="Heading2"/>
      </w:pPr>
      <w:r>
        <w:t xml:space="preserve">What management told investors to expect for Q2</w:t>
      </w:r>
    </w:p>
    <w:p>
      <w:pPr>
        <w:pStyle w:val="FirstParagraph"/>
      </w:pPr>
      <w:r>
        <w:t xml:space="preserve">On the Q1 call, CFO Ian Borden was explicit that Q2 would look weaker than Q1's headline numbers, largely due to a difficult comparison against last year's Minecraft movie promotion:</w:t>
      </w:r>
    </w:p>
    <w:p>
      <w:pPr>
        <w:pStyle w:val="Compact"/>
        <w:numPr>
          <w:ilvl w:val="0"/>
          <w:numId w:val="1001"/>
        </w:numPr>
      </w:pPr>
      <w:r>
        <w:rPr>
          <w:b/>
          <w:bCs/>
        </w:rPr>
        <w:t xml:space="preserve">U.S. and IOM:</w:t>
      </w:r>
      <w:r>
        <w:t xml:space="preserve"> </w:t>
      </w:r>
      <w:r>
        <w:t xml:space="preserve">Borden said comp sales in both segments turned "slightly negative" in April and that investors should expect "a meaningful deceleration from the 3.9% that we put up in both segments in Q1," while still improving on a two-year stack basis.</w:t>
      </w:r>
    </w:p>
    <w:p>
      <w:pPr>
        <w:pStyle w:val="Compact"/>
        <w:numPr>
          <w:ilvl w:val="0"/>
          <w:numId w:val="1001"/>
        </w:numPr>
      </w:pPr>
      <w:r>
        <w:rPr>
          <w:b/>
          <w:bCs/>
        </w:rPr>
        <w:t xml:space="preserve">IDL:</w:t>
      </w:r>
      <w:r>
        <w:t xml:space="preserve"> </w:t>
      </w:r>
      <w:r>
        <w:t xml:space="preserve">Expected to decelerate from Q1's 3.4%, reflecting volatility tied to the Middle East conflict and parts of Asia, though also improving on a two-year stack.</w:t>
      </w:r>
    </w:p>
    <w:p>
      <w:pPr>
        <w:pStyle w:val="Compact"/>
        <w:numPr>
          <w:ilvl w:val="0"/>
          <w:numId w:val="1001"/>
        </w:numPr>
      </w:pPr>
      <w:r>
        <w:t xml:space="preserve">Management's framing throughout was "focus on what we can control" — value, marketing, and menu — while acknowledging consumer sentiment "is getting... certainly not improving, and it may be getting a little bit worse."</w:t>
      </w:r>
    </w:p>
    <w:p>
      <w:pPr>
        <w:pStyle w:val="FirstParagraph"/>
      </w:pPr>
      <w:r>
        <w:rPr>
          <w:b/>
          <w:bCs/>
        </w:rPr>
        <w:t xml:space="preserve">Street consensus for Q2:</w:t>
      </w:r>
      <w:r>
        <w:t xml:space="preserve"> </w:t>
      </w:r>
      <w:r>
        <w:t xml:space="preserve">total comparable sales of roughly +1.4% (U.S. +0.95%), operating margin near 45.2%, and EPS of about $3.32.</w:t>
      </w:r>
    </w:p>
    <w:bookmarkEnd w:id="10"/>
    <w:bookmarkStart w:id="11" w:name="key-threads-to-watch-on-the-call"/>
    <w:p>
      <w:pPr>
        <w:pStyle w:val="Heading2"/>
      </w:pPr>
      <w:r>
        <w:t xml:space="preserve">Key threads to watch on the call</w:t>
      </w:r>
    </w:p>
    <w:p>
      <w:pPr>
        <w:pStyle w:val="FirstParagraph"/>
      </w:pPr>
      <w:r>
        <w:rPr>
          <w:b/>
          <w:bCs/>
        </w:rPr>
        <w:t xml:space="preserve">1. U.S. value war and the McValue reboot.</w:t>
      </w:r>
      <w:r>
        <w:t xml:space="preserve"> </w:t>
      </w:r>
      <w:r>
        <w:t xml:space="preserve">The April relaunch of McValue — an everyday-affordable "under $3" menu (headlined by a $2.50 McDouble and $1.50 Sausage McMuffin) alongside the $4 breakfast meal deal and existing</w:t>
      </w:r>
      <w:r>
        <w:t xml:space="preserve"> </w:t>
      </w:r>
      <m:oMath>
        <m:r>
          <m:t>5</m:t>
        </m:r>
        <m:r>
          <m:rPr>
            <m:sty m:val="p"/>
          </m:rPr>
          <m:t>/</m:t>
        </m:r>
      </m:oMath>
      <w:r>
        <w:t xml:space="preserve">6 rest-of-day meal deals — was still early-days as of the Q1 call, with management saying results were "in line with expectations." Investors will want proof points that the broadened value stack is translating into traffic and share gains now that the Extra Value Meals franchisee support program has rolled off (a program whose cost came in below the original ~$35 million estimate).</w:t>
      </w:r>
    </w:p>
    <w:p>
      <w:pPr>
        <w:pStyle w:val="BodyText"/>
      </w:pPr>
      <w:r>
        <w:rPr>
          <w:b/>
          <w:bCs/>
        </w:rPr>
        <w:t xml:space="preserve">2. U.S. company-operated (McOpCo) margins.</w:t>
      </w:r>
      <w:r>
        <w:t xml:space="preserve"> </w:t>
      </w:r>
      <w:r>
        <w:t xml:space="preserve">Management called Q1 U.S. company-operated margins "not acceptable," attributing the miss to added labor investment paired with overly conservative pricing. CEO Chris Kempczinski indicated McDonald's is actively rethinking the franchisee-vs-company ownership mix and could address changes at the September 23 Investor Day in Chicago. Watch for commentary on whether McOpCo margins improved sequentially and whether refranchising is accelerating.</w:t>
      </w:r>
    </w:p>
    <w:p>
      <w:pPr>
        <w:pStyle w:val="BodyText"/>
      </w:pPr>
      <w:r>
        <w:rPr>
          <w:b/>
          <w:bCs/>
        </w:rPr>
        <w:t xml:space="preserve">3. Beef inflation and the chicken pivot.</w:t>
      </w:r>
      <w:r>
        <w:t xml:space="preserve"> </w:t>
      </w:r>
      <w:r>
        <w:t xml:space="preserve">Elevated beef costs — a dynamic serious enough that beef processor Tyson Foods just cut its 2026 operating income guidance and now expects an adjusted operating loss for the year — were already pressuring McDonald's and its franchisees in Q1, particularly in Europe. Kempczinski noted McDonald's holds a mid-40% share in beef versus high-teens share in the faster-growing chicken category, and that elevated beef prices are pushing incremental value-seeking toward chicken. Expect continued emphasis on chicken (McCrispy, Hot Honey) as a relative margin and growth lever.</w:t>
      </w:r>
    </w:p>
    <w:p>
      <w:pPr>
        <w:pStyle w:val="BodyText"/>
      </w:pPr>
      <w:r>
        <w:rPr>
          <w:b/>
          <w:bCs/>
        </w:rPr>
        <w:t xml:space="preserve">4. Franchisee profitability.</w:t>
      </w:r>
      <w:r>
        <w:t xml:space="preserve"> </w:t>
      </w:r>
      <w:r>
        <w:t xml:space="preserve">Management flagged rising cash-flow pressure among both U.S. and IOM franchisees due to beef and broader input inflation, a dynamic to monitor given its read-through to remodel investment appetite and long-term unit growth toward the ~50,000-restaurant-by-2027 target.</w:t>
      </w:r>
    </w:p>
    <w:p>
      <w:pPr>
        <w:pStyle w:val="BodyText"/>
      </w:pPr>
      <w:r>
        <w:rPr>
          <w:b/>
          <w:bCs/>
        </w:rPr>
        <w:t xml:space="preserve">5. Beverages and the FIFA World Cup.</w:t>
      </w:r>
      <w:r>
        <w:t xml:space="preserve"> </w:t>
      </w:r>
      <w:r>
        <w:t xml:space="preserve">The U.S. rolled out a new McCafé-branded beverage platform (refreshers, crafted sodas, with Red Bull-infused energy drinks to follow later in the year) in May, alongside similar launches in Germany and Canada — flagged as a multi-year growth lever. June's FIFA World Cup, hosted across the U.S., Canada, and Mexico, was called out as a potential traffic and digital-engagement driver given McDonald's 30-plus-year sponsorship; look for early read on its impact.</w:t>
      </w:r>
    </w:p>
    <w:p>
      <w:pPr>
        <w:pStyle w:val="BodyText"/>
      </w:pPr>
      <w:r>
        <w:rPr>
          <w:b/>
          <w:bCs/>
        </w:rPr>
        <w:t xml:space="preserve">6. International divergence.</w:t>
      </w:r>
      <w:r>
        <w:t xml:space="preserve"> </w:t>
      </w:r>
      <w:r>
        <w:t xml:space="preserve">The U.K., Germany, and Australia continued to outperform in Q1 (mid-to-high single-digit comps, consistent share gains), while France was a clear laggard, prompting a new value platform launch. China maintained share and remains on track for ~1,000 new restaurants in 2026 despite acknowledged macro pressure.</w:t>
      </w:r>
    </w:p>
    <w:bookmarkEnd w:id="11"/>
    <w:bookmarkStart w:id="12" w:name="the-macro-overlay-this-quarter"/>
    <w:p>
      <w:pPr>
        <w:pStyle w:val="Heading2"/>
      </w:pPr>
      <w:r>
        <w:t xml:space="preserve">The macro overlay this quarter</w:t>
      </w:r>
    </w:p>
    <w:p>
      <w:pPr>
        <w:pStyle w:val="FirstParagraph"/>
      </w:pPr>
      <w:r>
        <w:t xml:space="preserve">The consumer and cost backdrop has arguably gotten harder since the Q1 call:</w:t>
      </w:r>
    </w:p>
    <w:p>
      <w:pPr>
        <w:pStyle w:val="Compact"/>
        <w:numPr>
          <w:ilvl w:val="0"/>
          <w:numId w:val="1002"/>
        </w:numPr>
      </w:pPr>
      <w:r>
        <w:rPr>
          <w:b/>
          <w:bCs/>
        </w:rPr>
        <w:t xml:space="preserve">Gasoline/oil prices</w:t>
      </w:r>
      <w:r>
        <w:t xml:space="preserve"> </w:t>
      </w:r>
      <w:r>
        <w:t xml:space="preserve">have surged amid the Iran conflict, with national average gas prices running above $4/gallon — a dynamic management already said would disproportionately hit lower-income consumers, whose spending McDonald's had flagged as still declining (albeit less steeply than 6-12 months prior) even as higher-income cohorts stayed resilient.</w:t>
      </w:r>
    </w:p>
    <w:p>
      <w:pPr>
        <w:pStyle w:val="Compact"/>
        <w:numPr>
          <w:ilvl w:val="0"/>
          <w:numId w:val="1002"/>
        </w:numPr>
      </w:pPr>
      <w:r>
        <w:rPr>
          <w:b/>
          <w:bCs/>
        </w:rPr>
        <w:t xml:space="preserve">Inflation and Fed policy uncertainty</w:t>
      </w:r>
      <w:r>
        <w:t xml:space="preserve"> </w:t>
      </w:r>
      <w:r>
        <w:t xml:space="preserve">remain elevated, with bond-market volatility around Fed credibility questions adding to a cautious consumer/investor mood.</w:t>
      </w:r>
    </w:p>
    <w:p>
      <w:pPr>
        <w:pStyle w:val="Compact"/>
        <w:numPr>
          <w:ilvl w:val="0"/>
          <w:numId w:val="1002"/>
        </w:numPr>
      </w:pPr>
      <w:r>
        <w:rPr>
          <w:b/>
          <w:bCs/>
        </w:rPr>
        <w:t xml:space="preserve">Food-safety headlines across the fast-food sector</w:t>
      </w:r>
      <w:r>
        <w:t xml:space="preserve"> </w:t>
      </w:r>
      <w:r>
        <w:t xml:space="preserve">— a large multistate cyclosporiasis outbreak (linked publicly to a lettuce supplier tied to Taco Bell, not McDonald's) — have reportedly dented near-term QSR traffic broadly, with some signs of stabilization more recently. While not a McDonald's-specific issue, sector-wide food-safety anxiety is a wildcard for July/August traffic trends worth listening for.</w:t>
      </w:r>
    </w:p>
    <w:p>
      <w:pPr>
        <w:pStyle w:val="Compact"/>
        <w:numPr>
          <w:ilvl w:val="0"/>
          <w:numId w:val="1002"/>
        </w:numPr>
      </w:pPr>
      <w:r>
        <w:rPr>
          <w:b/>
          <w:bCs/>
        </w:rPr>
        <w:t xml:space="preserve">Beef cost inflation</w:t>
      </w:r>
      <w:r>
        <w:t xml:space="preserve">, as noted, is a shared industry pressure point rather than an MCD-specific issue, but it disproportionately affects a beef-heavy menu like McDonald's.</w:t>
      </w:r>
    </w:p>
    <w:bookmarkEnd w:id="12"/>
    <w:bookmarkStart w:id="13" w:name="balance-sheet-and-capital-return-context"/>
    <w:p>
      <w:pPr>
        <w:pStyle w:val="Heading2"/>
      </w:pPr>
      <w:r>
        <w:t xml:space="preserve">Balance sheet and capital return context</w:t>
      </w:r>
    </w:p>
    <w:p>
      <w:pPr>
        <w:pStyle w:val="FirstParagraph"/>
      </w:pPr>
      <w:r>
        <w:t xml:space="preserve">For reference, in Q1 McDonald's generated $2.4 billion of cash from operations (exceeding capex by $1.7 billion), paid a</w:t>
      </w:r>
      <w:r>
        <w:t xml:space="preserve"> </w:t>
      </w:r>
      <m:oMath>
        <m:r>
          <m:t>1.86</m:t>
        </m:r>
        <m:r>
          <m:rPr>
            <m:sty m:val="p"/>
          </m:rPr>
          <m:t>/</m:t>
        </m:r>
        <m:r>
          <m:t>s</m:t>
        </m:r>
        <m:r>
          <m:t>h</m:t>
        </m:r>
        <m:r>
          <m:t>a</m:t>
        </m:r>
        <m:r>
          <m:t>r</m:t>
        </m:r>
        <m:r>
          <m:t>e</m:t>
        </m:r>
        <m:r>
          <m:t>q</m:t>
        </m:r>
        <m:r>
          <m:t>u</m:t>
        </m:r>
        <m:r>
          <m:t>a</m:t>
        </m:r>
        <m:r>
          <m:t>r</m:t>
        </m:r>
        <m:r>
          <m:t>t</m:t>
        </m:r>
        <m:r>
          <m:t>e</m:t>
        </m:r>
        <m:r>
          <m:t>r</m:t>
        </m:r>
        <m:r>
          <m:t>l</m:t>
        </m:r>
        <m:r>
          <m:t>y</m:t>
        </m:r>
        <m:r>
          <m:t>d</m:t>
        </m:r>
        <m:r>
          <m:t>i</m:t>
        </m:r>
        <m:r>
          <m:t>v</m:t>
        </m:r>
        <m:r>
          <m:t>i</m:t>
        </m:r>
        <m:r>
          <m:t>d</m:t>
        </m:r>
        <m:r>
          <m:t>e</m:t>
        </m:r>
        <m:r>
          <m:t>n</m:t>
        </m:r>
        <m:r>
          <m:t>d</m:t>
        </m:r>
        <m:r>
          <m:rPr>
            <m:sty m:val="p"/>
          </m:rPr>
          <m:t>(</m:t>
        </m:r>
        <m:r>
          <m:t> </m:t>
        </m:r>
      </m:oMath>
      <w:r>
        <w:t xml:space="preserve">1.3 billion), and repurchased $393 million of stock. Full-year 2026 guidance calls for capex of $3.7-3.9 billion, ~2,600 gross restaurant openings (~2,100 net additions), operating margin in the "mid-to-high 40% range," SG&amp;A near 2.2% of Systemwide sales, and free cash flow conversion in the "low-to-mid 80% range." Management also guided to a full-year FX tailwind to EPS of</w:t>
      </w:r>
      <w:r>
        <w:t xml:space="preserve"> </w:t>
      </w:r>
      <m:oMath>
        <m:r>
          <m:t>0.20</m:t>
        </m:r>
        <m:r>
          <m:rPr>
            <m:sty m:val="p"/>
          </m:rPr>
          <m:t>−</m:t>
        </m:r>
      </m:oMath>
      <w:r>
        <w:t xml:space="preserve">0.30 based on rates at the time of the Q1 call — worth re-checking given currency moves since.</w:t>
      </w:r>
    </w:p>
    <w:bookmarkEnd w:id="13"/>
    <w:bookmarkStart w:id="14" w:name="bottom-line-for-investors"/>
    <w:p>
      <w:pPr>
        <w:pStyle w:val="Heading2"/>
      </w:pPr>
      <w:r>
        <w:t xml:space="preserve">Bottom line for investors</w:t>
      </w:r>
    </w:p>
    <w:p>
      <w:pPr>
        <w:pStyle w:val="FirstParagraph"/>
      </w:pPr>
      <w:r>
        <w:t xml:space="preserve">This print is less about a single quarter's comp number and more about whether McDonald's "3-for-3" execution playbook (value + marketing + menu innovation) is enough to offset a genuinely tougher consumer and cost environment — elevated gas prices, sticky inflation, beef cost pressure, and sector-wide food-safety jitters — while the company simultaneously works through a U.S. margin problem and weighs its franchise/company-ownership mix. With consensus already braced for a sharp deceleration in comps (to roughly +1.4% globally) and margin compression (~45.2% vs. 46.0% in Q1), the bar looks calibrated for a "manageable slowdown" rather than a blowout or a disaster. Commentary on July trends, the pace of McValue 2.0 adoption, U.S. McOpCo margin trajectory, and any early framing ahead of the September 23 Investor Day are likely to matter more to the stock than the headline Q2 comp itself.</w:t>
      </w:r>
    </w:p>
    <w:bookmarkEnd w:id="14"/>
    <w:bookmarkEnd w:id="15"/>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2026-08-04T00:45:12Z</dcterms:created>
  <dcterms:modified xsi:type="dcterms:W3CDTF">2026-08-04T00:45:12Z</dcterms:modified>
</cp:coreProperties>
</file>

<file path=docProps/custom.xml><?xml version="1.0" encoding="utf-8"?>
<Properties xmlns="http://schemas.openxmlformats.org/officeDocument/2006/custom-properties" xmlns:vt="http://schemas.openxmlformats.org/officeDocument/2006/docPropsVTypes"/>
</file>