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mcd-earnings-predictions--2026-08-04"/>
    <w:p>
      <w:pPr>
        <w:pStyle w:val="Heading1"/>
      </w:pPr>
      <w:r>
        <w:t xml:space="preserve">MCD Earnings Predictions — 2026-08-04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MCD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Global comparable sales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~1.6% vs. cons 1.4%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MCD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U.S. comparable sales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~1.1% vs. cons 0.95%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MCD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~$3.36 vs. cons $3.32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MCD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Adjusted operating margin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~46.8% vs. cons 46.8%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MCD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Net restaurant additions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~2,050 vs. cons 2,100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MCD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Capital expenditures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~$3.8B vs. cons $3.8B (FY2026)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MCD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Global comparable sales growth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~2.3% vs. cons 2.7% (2H2026)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MCD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+1.8%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MCD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+0.6% (FADE)</w:t>
            </w:r>
          </w:p>
        </w:tc>
        <w:tc>
          <w:tcPr/>
          <w:p>
            <w:pPr>
              <w:pStyle w:val="Compact"/>
            </w:pPr>
            <w:r>
              <w:t xml:space="preserve">A modest comp and EPS beat should support the initial reaction, but implied 2H2026 global comparable-sales growth of ~2.3% vs. consensus 2.7% and net additions of ~2,050 vs. consensus 2,100 would pull out-period estimates lower and cause most of the day-1 gain to fade.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2026-08-04T00:45:02Z</dcterms:created>
  <dcterms:modified xsi:type="dcterms:W3CDTF">2026-08-04T00:45:02Z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