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mcdonalds-mcd-2026-q2-earnings-preview"/>
    <w:p>
      <w:pPr>
        <w:pStyle w:val="Heading1"/>
      </w:pPr>
      <w:r>
        <w:t xml:space="preserve">McDonald’s (MCD) 2026 Q2 Earnings Preview</w:t>
      </w:r>
    </w:p>
    <w:p>
      <w:pPr>
        <w:pStyle w:val="BlockText"/>
      </w:pPr>
      <w:r>
        <w:rPr>
          <w:b/>
          <w:bCs/>
        </w:rPr>
        <w:t xml:space="preserve">Calendar note:</w:t>
      </w:r>
      <w:r>
        <w:t xml:space="preserve"> </w:t>
      </w:r>
      <w:r>
        <w:t xml:space="preserve">August 4, 2026 is</w:t>
      </w:r>
      <w:r>
        <w:t xml:space="preserve"> </w:t>
      </w:r>
      <w:r>
        <w:rPr>
          <w:b/>
          <w:bCs/>
        </w:rPr>
        <w:t xml:space="preserve">today</w:t>
      </w:r>
      <w:r>
        <w:t xml:space="preserve">, not tomorrow. McDonald’s is scheduled to report before the U.S. market opens on</w:t>
      </w:r>
      <w:r>
        <w:t xml:space="preserve"> </w:t>
      </w:r>
      <w:r>
        <w:rPr>
          <w:b/>
          <w:bCs/>
        </w:rPr>
        <w:t xml:space="preserve">Tuesday, August 4</w:t>
      </w:r>
      <w:r>
        <w:t xml:space="preserve">, followed by its earnings call at 8:30 a.m. ET. At the time of this research, no Q2 release had appeared in the company’s filings database. (</w:t>
      </w:r>
      <w:hyperlink r:id="rId9">
        <w:r>
          <w:rPr>
            <w:rStyle w:val="Hyperlink"/>
          </w:rPr>
          <w:t xml:space="preserve">tipranks.com</w:t>
        </w:r>
      </w:hyperlink>
      <w:r>
        <w:t xml:space="preserve">)</w:t>
      </w:r>
    </w:p>
    <w:bookmarkStart w:id="10" w:name="executive-view"/>
    <w:p>
      <w:pPr>
        <w:pStyle w:val="Heading2"/>
      </w:pPr>
      <w:r>
        <w:t xml:space="preserve">Executive view</w:t>
      </w:r>
    </w:p>
    <w:p>
      <w:pPr>
        <w:pStyle w:val="FirstParagraph"/>
      </w:pPr>
      <w:r>
        <w:t xml:space="preserve">The headline numbers may look unremarkable because management already warned that comparable-sales growth would slow materially from Q1. The more important question is whether the slowdown is primarily a difficult-comparison issue—or evidence that consumer pressure is overwhelming McDonald’s value, marketing, and menu initiatives.</w:t>
      </w:r>
    </w:p>
    <w:p>
      <w:pPr>
        <w:pStyle w:val="BodyText"/>
      </w:pPr>
      <w:r>
        <w:t xml:space="preserve">Investors should focus on five things:</w:t>
      </w:r>
    </w:p>
    <w:p>
      <w:pPr>
        <w:pStyle w:val="Compact"/>
        <w:numPr>
          <w:ilvl w:val="0"/>
          <w:numId w:val="1001"/>
        </w:numPr>
      </w:pPr>
      <w:r>
        <w:rPr>
          <w:b/>
          <w:bCs/>
        </w:rPr>
        <w:t xml:space="preserve">U.S. guest counts and market share</w:t>
      </w:r>
      <w:r>
        <w:t xml:space="preserve">, not simply average-check-driven sales.</w:t>
      </w:r>
    </w:p>
    <w:p>
      <w:pPr>
        <w:pStyle w:val="Compact"/>
        <w:numPr>
          <w:ilvl w:val="0"/>
          <w:numId w:val="1001"/>
        </w:numPr>
      </w:pPr>
      <w:r>
        <w:t xml:space="preserve">Whether the revamped</w:t>
      </w:r>
      <w:r>
        <w:t xml:space="preserve"> </w:t>
      </w:r>
      <w:r>
        <w:rPr>
          <w:b/>
          <w:bCs/>
        </w:rPr>
        <w:t xml:space="preserve">McValue platform</w:t>
      </w:r>
      <w:r>
        <w:t xml:space="preserve"> </w:t>
      </w:r>
      <w:r>
        <w:t xml:space="preserve">is driving incremental traffic without damaging franchisee profitability.</w:t>
      </w:r>
    </w:p>
    <w:p>
      <w:pPr>
        <w:pStyle w:val="Compact"/>
        <w:numPr>
          <w:ilvl w:val="0"/>
          <w:numId w:val="1001"/>
        </w:numPr>
      </w:pPr>
      <w:r>
        <w:t xml:space="preserve">Early returns from</w:t>
      </w:r>
      <w:r>
        <w:t xml:space="preserve"> </w:t>
      </w:r>
      <w:r>
        <w:rPr>
          <w:b/>
          <w:bCs/>
        </w:rPr>
        <w:t xml:space="preserve">beverages and World Cup marketing</w:t>
      </w:r>
      <w:r>
        <w:t xml:space="preserve">.</w:t>
      </w:r>
    </w:p>
    <w:p>
      <w:pPr>
        <w:pStyle w:val="Compact"/>
        <w:numPr>
          <w:ilvl w:val="0"/>
          <w:numId w:val="1001"/>
        </w:numPr>
      </w:pPr>
      <w:r>
        <w:rPr>
          <w:b/>
          <w:bCs/>
        </w:rPr>
        <w:t xml:space="preserve">Restaurant margins</w:t>
      </w:r>
      <w:r>
        <w:t xml:space="preserve">, particularly at U.S. company-operated stores.</w:t>
      </w:r>
    </w:p>
    <w:p>
      <w:pPr>
        <w:pStyle w:val="Compact"/>
        <w:numPr>
          <w:ilvl w:val="0"/>
          <w:numId w:val="1001"/>
        </w:numPr>
      </w:pPr>
      <w:r>
        <w:t xml:space="preserve">Whether management can reaffirm 2026 targets despite consumer and commodity pressure.</w:t>
      </w:r>
    </w:p>
    <w:p>
      <w:pPr>
        <w:pStyle w:val="FirstParagraph"/>
      </w:pPr>
      <w:r>
        <w:t xml:space="preserve">My read is that expectations have been reset low enough for a modest headline beat. However, the stock probably needs evidence of improving underlying traffic—and a constructive second-half outlook—for a durable positive reaction.</w:t>
      </w:r>
    </w:p>
    <w:p>
      <w:r>
        <w:pict>
          <v:rect style="width:0;height:1.5pt" o:hralign="center" o:hrstd="t" o:hr="t"/>
        </w:pict>
      </w:r>
    </w:p>
    <w:bookmarkEnd w:id="10"/>
    <w:bookmarkStart w:id="12" w:name="the-numbers-to-know"/>
    <w:p>
      <w:pPr>
        <w:pStyle w:val="Heading2"/>
      </w:pPr>
      <w:r>
        <w:t xml:space="preserve">The numbers to know</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consensus/expectation</w:t>
            </w:r>
          </w:p>
        </w:tc>
        <w:tc>
          <w:tcPr/>
          <w:p>
            <w:pPr>
              <w:pStyle w:val="Compact"/>
              <w:jc w:val="right"/>
            </w:pPr>
            <w:r>
              <w:t xml:space="preserve">Q2 2025 actual</w:t>
            </w:r>
          </w:p>
        </w:tc>
      </w:tr>
      <w:tr>
        <w:tc>
          <w:tcPr/>
          <w:p>
            <w:pPr>
              <w:pStyle w:val="Compact"/>
            </w:pPr>
            <w:r>
              <w:t xml:space="preserve">Adjusted EPS</w:t>
            </w:r>
          </w:p>
        </w:tc>
        <w:tc>
          <w:tcPr/>
          <w:p>
            <w:pPr>
              <w:pStyle w:val="Compact"/>
              <w:jc w:val="right"/>
            </w:pPr>
            <w:r>
              <w:t xml:space="preserve">Approximately</w:t>
            </w:r>
            <w:r>
              <w:t xml:space="preserve"> </w:t>
            </w:r>
            <m:oMath>
              <m:r>
                <m:t>3.32</m:t>
              </m:r>
              <m:r>
                <m:rPr>
                  <m:sty m:val="p"/>
                </m:rPr>
                <m:t>–</m:t>
              </m:r>
            </m:oMath>
            <w:r>
              <w:rPr>
                <w:b/>
                <w:bCs/>
              </w:rPr>
              <w:t xml:space="preserve">3.34</w:t>
            </w:r>
          </w:p>
        </w:tc>
        <w:tc>
          <w:tcPr/>
          <w:p>
            <w:pPr>
              <w:pStyle w:val="Compact"/>
              <w:jc w:val="right"/>
            </w:pPr>
            <w:r>
              <w:t xml:space="preserve">$3.19</w:t>
            </w:r>
          </w:p>
        </w:tc>
      </w:tr>
      <w:tr>
        <w:tc>
          <w:tcPr/>
          <w:p>
            <w:pPr>
              <w:pStyle w:val="Compact"/>
            </w:pPr>
            <w:r>
              <w:t xml:space="preserve">Revenue</w:t>
            </w:r>
          </w:p>
        </w:tc>
        <w:tc>
          <w:tcPr/>
          <w:p>
            <w:pPr>
              <w:pStyle w:val="Compact"/>
              <w:jc w:val="right"/>
            </w:pPr>
            <w:r>
              <w:t xml:space="preserve">Approximately</w:t>
            </w:r>
            <w:r>
              <w:t xml:space="preserve"> </w:t>
            </w:r>
            <m:oMath>
              <m:r>
                <m:t>7.1</m:t>
              </m:r>
              <m:r>
                <m:rPr>
                  <m:sty m:val="p"/>
                </m:rPr>
                <m:t>–</m:t>
              </m:r>
            </m:oMath>
            <w:r>
              <w:rPr>
                <w:b/>
                <w:bCs/>
              </w:rPr>
              <w:t xml:space="preserve">7.2 billion</w:t>
            </w:r>
          </w:p>
        </w:tc>
        <w:tc>
          <w:tcPr/>
          <w:p>
            <w:pPr>
              <w:pStyle w:val="Compact"/>
              <w:jc w:val="right"/>
            </w:pPr>
            <w:r>
              <w:t xml:space="preserve">$6.84 billion</w:t>
            </w:r>
          </w:p>
        </w:tc>
      </w:tr>
      <w:tr>
        <w:tc>
          <w:tcPr/>
          <w:p>
            <w:pPr>
              <w:pStyle w:val="Compact"/>
            </w:pPr>
            <w:r>
              <w:t xml:space="preserve">Global comparable sales</w:t>
            </w:r>
          </w:p>
        </w:tc>
        <w:tc>
          <w:tcPr/>
          <w:p>
            <w:pPr>
              <w:pStyle w:val="Compact"/>
              <w:jc w:val="right"/>
            </w:pPr>
            <w:r>
              <w:t xml:space="preserve">Approximately</w:t>
            </w:r>
            <w:r>
              <w:t xml:space="preserve"> </w:t>
            </w:r>
            <w:r>
              <w:rPr>
                <w:b/>
                <w:bCs/>
              </w:rPr>
              <w:t xml:space="preserve">+1.4%</w:t>
            </w:r>
          </w:p>
        </w:tc>
        <w:tc>
          <w:tcPr/>
          <w:p>
            <w:pPr>
              <w:pStyle w:val="Compact"/>
              <w:jc w:val="right"/>
            </w:pPr>
            <w:r>
              <w:t xml:space="preserve">+3.8%</w:t>
            </w:r>
          </w:p>
        </w:tc>
      </w:tr>
      <w:tr>
        <w:tc>
          <w:tcPr/>
          <w:p>
            <w:pPr>
              <w:pStyle w:val="Compact"/>
            </w:pPr>
            <w:r>
              <w:t xml:space="preserve">U.S. comparable sales</w:t>
            </w:r>
          </w:p>
        </w:tc>
        <w:tc>
          <w:tcPr/>
          <w:p>
            <w:pPr>
              <w:pStyle w:val="Compact"/>
              <w:jc w:val="right"/>
            </w:pPr>
            <w:r>
              <w:t xml:space="preserve">Approximately</w:t>
            </w:r>
            <w:r>
              <w:t xml:space="preserve"> </w:t>
            </w:r>
            <w:r>
              <w:rPr>
                <w:b/>
                <w:bCs/>
              </w:rPr>
              <w:t xml:space="preserve">+1.0%</w:t>
            </w:r>
          </w:p>
        </w:tc>
        <w:tc>
          <w:tcPr/>
          <w:p>
            <w:pPr>
              <w:pStyle w:val="Compact"/>
              <w:jc w:val="right"/>
            </w:pPr>
            <w:r>
              <w:t xml:space="preserve">+2.5%</w:t>
            </w:r>
          </w:p>
        </w:tc>
      </w:tr>
      <w:tr>
        <w:tc>
          <w:tcPr/>
          <w:p>
            <w:pPr>
              <w:pStyle w:val="Compact"/>
            </w:pPr>
            <w:r>
              <w:t xml:space="preserve">Operating margin</w:t>
            </w:r>
          </w:p>
        </w:tc>
        <w:tc>
          <w:tcPr/>
          <w:p>
            <w:pPr>
              <w:pStyle w:val="Compact"/>
              <w:jc w:val="right"/>
            </w:pPr>
            <w:r>
              <w:t xml:space="preserve">Approximately</w:t>
            </w:r>
            <w:r>
              <w:t xml:space="preserve"> </w:t>
            </w:r>
            <w:r>
              <w:rPr>
                <w:b/>
                <w:bCs/>
              </w:rPr>
              <w:t xml:space="preserve">45.2%</w:t>
            </w:r>
          </w:p>
        </w:tc>
        <w:tc>
          <w:tcPr/>
          <w:p>
            <w:pPr>
              <w:pStyle w:val="Compact"/>
              <w:jc w:val="right"/>
            </w:pPr>
            <w:r>
              <w:t xml:space="preserve">—</w:t>
            </w:r>
          </w:p>
        </w:tc>
      </w:tr>
    </w:tbl>
    <w:p>
      <w:pPr>
        <w:pStyle w:val="BodyText"/>
      </w:pPr>
      <w:r>
        <w:t xml:space="preserve">Consensus EPS implies roughly</w:t>
      </w:r>
      <w:r>
        <w:t xml:space="preserve"> </w:t>
      </w:r>
      <w:r>
        <w:rPr>
          <w:b/>
          <w:bCs/>
        </w:rPr>
        <w:t xml:space="preserve">4% year-over-year growth</w:t>
      </w:r>
      <w:r>
        <w:t xml:space="preserve">. Published estimates vary slightly by provider, but the central expectation is around $3.32. (</w:t>
      </w:r>
      <w:hyperlink r:id="rId9">
        <w:r>
          <w:rPr>
            <w:rStyle w:val="Hyperlink"/>
          </w:rPr>
          <w:t xml:space="preserve">tipranks.com</w:t>
        </w:r>
      </w:hyperlink>
      <w:r>
        <w:t xml:space="preserve">)</w:t>
      </w:r>
    </w:p>
    <w:p>
      <w:pPr>
        <w:pStyle w:val="BodyText"/>
      </w:pPr>
      <w:r>
        <w:t xml:space="preserve">The comparison is not easy: in Q2 2025, McDonald’s generated 3.8% global comparable-sales growth, including 2.5% in the U.S., 4.0% in International Operated Markets and 5.6% in developmental-license markets. Adjusted EPS was $3.19. (</w:t>
      </w:r>
      <w:hyperlink r:id="rId11">
        <w:r>
          <w:rPr>
            <w:rStyle w:val="Hyperlink"/>
          </w:rPr>
          <w:t xml:space="preserve">corporate.mcdonalds.com</w:t>
        </w:r>
      </w:hyperlink>
      <w:r>
        <w:t xml:space="preserve">)</w:t>
      </w:r>
    </w:p>
    <w:p>
      <w:r>
        <w:pict>
          <v:rect style="width:0;height:1.5pt" o:hralign="center" o:hrstd="t" o:hr="t"/>
        </w:pict>
      </w:r>
    </w:p>
    <w:bookmarkEnd w:id="12"/>
    <w:bookmarkStart w:id="14" w:name="Xdf09f772bc88e014a2d83e910c49aabe0f5e1e7"/>
    <w:p>
      <w:pPr>
        <w:pStyle w:val="Heading2"/>
      </w:pPr>
      <w:r>
        <w:t xml:space="preserve">1. The expected slowdown needs to look temporary</w:t>
      </w:r>
    </w:p>
    <w:p>
      <w:pPr>
        <w:pStyle w:val="FirstParagraph"/>
      </w:pPr>
      <w:r>
        <w:t xml:space="preserve">McDonald’s entered Q2 with momentum. First-quarter global and U.S. comparable sales grew 3.8% and 3.9%, respectively, while adjusted EPS increased to $2.83. Growth was broad-based across all three operating segments. (</w:t>
      </w:r>
      <w:hyperlink r:id="rId13">
        <w:r>
          <w:rPr>
            <w:rStyle w:val="Hyperlink"/>
          </w:rPr>
          <w:t xml:space="preserve">corporate.mcdonalds.com</w:t>
        </w:r>
      </w:hyperlink>
      <w:r>
        <w:t xml:space="preserve">)</w:t>
      </w:r>
    </w:p>
    <w:p>
      <w:pPr>
        <w:pStyle w:val="BodyText"/>
      </w:pPr>
      <w:r>
        <w:t xml:space="preserve">But management was unusually explicit on the May call:</w:t>
      </w:r>
    </w:p>
    <w:p>
      <w:pPr>
        <w:pStyle w:val="Compact"/>
        <w:numPr>
          <w:ilvl w:val="0"/>
          <w:numId w:val="1002"/>
        </w:numPr>
      </w:pPr>
      <w:r>
        <w:t xml:space="preserve">April U.S. and International Operated Market comps were</w:t>
      </w:r>
      <w:r>
        <w:t xml:space="preserve"> </w:t>
      </w:r>
      <w:r>
        <w:rPr>
          <w:b/>
          <w:bCs/>
        </w:rPr>
        <w:t xml:space="preserve">slightly negative</w:t>
      </w:r>
      <w:r>
        <w:t xml:space="preserve">.</w:t>
      </w:r>
    </w:p>
    <w:p>
      <w:pPr>
        <w:pStyle w:val="Compact"/>
        <w:numPr>
          <w:ilvl w:val="0"/>
          <w:numId w:val="1002"/>
        </w:numPr>
      </w:pPr>
      <w:r>
        <w:t xml:space="preserve">Both regions faced a difficult comparison against the highly successful 2025 Minecraft promotion.</w:t>
      </w:r>
    </w:p>
    <w:p>
      <w:pPr>
        <w:pStyle w:val="Compact"/>
        <w:numPr>
          <w:ilvl w:val="0"/>
          <w:numId w:val="1002"/>
        </w:numPr>
      </w:pPr>
      <w:r>
        <w:t xml:space="preserve">Management expected a</w:t>
      </w:r>
      <w:r>
        <w:t xml:space="preserve"> </w:t>
      </w:r>
      <w:r>
        <w:rPr>
          <w:b/>
          <w:bCs/>
        </w:rPr>
        <w:t xml:space="preserve">meaningful sequential deceleration</w:t>
      </w:r>
      <w:r>
        <w:t xml:space="preserve"> </w:t>
      </w:r>
      <w:r>
        <w:t xml:space="preserve">from Q1.</w:t>
      </w:r>
    </w:p>
    <w:p>
      <w:pPr>
        <w:pStyle w:val="Compact"/>
        <w:numPr>
          <w:ilvl w:val="0"/>
          <w:numId w:val="1002"/>
        </w:numPr>
      </w:pPr>
      <w:r>
        <w:t xml:space="preserve">It nevertheless expected two-year comparable-sales trends to improve.</w:t>
      </w:r>
    </w:p>
    <w:p>
      <w:pPr>
        <w:pStyle w:val="FirstParagraph"/>
      </w:pPr>
      <w:r>
        <w:t xml:space="preserve">This creates an important distinction. A global comp near the Street’s 1.4% expectation would not necessarily be disappointing. What matters is the cadence:</w:t>
      </w:r>
    </w:p>
    <w:p>
      <w:pPr>
        <w:pStyle w:val="Compact"/>
        <w:numPr>
          <w:ilvl w:val="0"/>
          <w:numId w:val="1003"/>
        </w:numPr>
      </w:pPr>
      <w:r>
        <w:t xml:space="preserve">Did results rebound in May and June after the weak April comparison?</w:t>
      </w:r>
    </w:p>
    <w:p>
      <w:pPr>
        <w:pStyle w:val="Compact"/>
        <w:numPr>
          <w:ilvl w:val="0"/>
          <w:numId w:val="1003"/>
        </w:numPr>
      </w:pPr>
      <w:r>
        <w:t xml:space="preserve">Did McDonald’s continue gaining market share?</w:t>
      </w:r>
    </w:p>
    <w:p>
      <w:pPr>
        <w:pStyle w:val="Compact"/>
        <w:numPr>
          <w:ilvl w:val="0"/>
          <w:numId w:val="1003"/>
        </w:numPr>
      </w:pPr>
      <w:r>
        <w:t xml:space="preserve">Were guest counts positive or at least better than the broader quick-service industry?</w:t>
      </w:r>
    </w:p>
    <w:p>
      <w:pPr>
        <w:pStyle w:val="Compact"/>
        <w:numPr>
          <w:ilvl w:val="0"/>
          <w:numId w:val="1003"/>
        </w:numPr>
      </w:pPr>
      <w:r>
        <w:t xml:space="preserve">What happened in July?</w:t>
      </w:r>
    </w:p>
    <w:p>
      <w:pPr>
        <w:pStyle w:val="FirstParagraph"/>
      </w:pPr>
      <w:r>
        <w:t xml:space="preserve">A weak quarter accompanied by improving exit trends could be well received. A roughly in-line quarter with deteriorating July trends would be more concerning.</w:t>
      </w:r>
    </w:p>
    <w:p>
      <w:r>
        <w:pict>
          <v:rect style="width:0;height:1.5pt" o:hralign="center" o:hrstd="t" o:hr="t"/>
        </w:pict>
      </w:r>
    </w:p>
    <w:bookmarkEnd w:id="14"/>
    <w:bookmarkStart w:id="17" w:name="Xab6faeb44d9a0ac2944f4d02bda57c06572885b"/>
    <w:p>
      <w:pPr>
        <w:pStyle w:val="Heading2"/>
      </w:pPr>
      <w:r>
        <w:t xml:space="preserve">2. U.S. traffic is the central debate</w:t>
      </w:r>
    </w:p>
    <w:p>
      <w:pPr>
        <w:pStyle w:val="FirstParagraph"/>
      </w:pPr>
      <w:r>
        <w:t xml:space="preserve">McDonald’s Q1 U.S. comp growth was driven primarily by higher average check. That is helpful financially, but investors will want clearer evidence that value initiatives are also increasing transactions.</w:t>
      </w:r>
    </w:p>
    <w:p>
      <w:pPr>
        <w:pStyle w:val="BodyText"/>
      </w:pPr>
      <w:r>
        <w:t xml:space="preserve">The U.S. value architecture now includes:</w:t>
      </w:r>
    </w:p>
    <w:p>
      <w:pPr>
        <w:pStyle w:val="Compact"/>
        <w:numPr>
          <w:ilvl w:val="0"/>
          <w:numId w:val="1004"/>
        </w:numPr>
      </w:pPr>
      <w:r>
        <w:t xml:space="preserve">An everyday menu with selected items below $3.</w:t>
      </w:r>
    </w:p>
    <w:p>
      <w:pPr>
        <w:pStyle w:val="Compact"/>
        <w:numPr>
          <w:ilvl w:val="0"/>
          <w:numId w:val="1004"/>
        </w:numPr>
      </w:pPr>
      <w:r>
        <w:t xml:space="preserve">A $4 breakfast meal.</w:t>
      </w:r>
    </w:p>
    <w:p>
      <w:pPr>
        <w:pStyle w:val="Compact"/>
        <w:numPr>
          <w:ilvl w:val="0"/>
          <w:numId w:val="1004"/>
        </w:numPr>
      </w:pPr>
      <w:r>
        <w:t xml:space="preserve">$5 McChicken and $6 McDouble meal deals.</w:t>
      </w:r>
    </w:p>
    <w:p>
      <w:pPr>
        <w:pStyle w:val="Compact"/>
        <w:numPr>
          <w:ilvl w:val="0"/>
          <w:numId w:val="1004"/>
        </w:numPr>
      </w:pPr>
      <w:r>
        <w:t xml:space="preserve">Extra Value Meals offering a discount to à-la-carte pricing.</w:t>
      </w:r>
    </w:p>
    <w:p>
      <w:pPr>
        <w:pStyle w:val="Compact"/>
        <w:numPr>
          <w:ilvl w:val="0"/>
          <w:numId w:val="1004"/>
        </w:numPr>
      </w:pPr>
      <w:r>
        <w:t xml:space="preserve">Full-margin promotions and premium menu items alongside value.</w:t>
      </w:r>
    </w:p>
    <w:p>
      <w:pPr>
        <w:pStyle w:val="FirstParagraph"/>
      </w:pPr>
      <w:r>
        <w:t xml:space="preserve">Management says these programs have improved value perceptions and helped recapture some low-income customers. Nevertheless, lower-income traffic was still declining in Q1, while higher-income customer spending remained considerably more resilient.</w:t>
      </w:r>
    </w:p>
    <w:bookmarkStart w:id="15" w:name="what-would-be-encouraging"/>
    <w:p>
      <w:pPr>
        <w:pStyle w:val="Heading3"/>
      </w:pPr>
      <w:r>
        <w:t xml:space="preserve">What would be encouraging</w:t>
      </w:r>
    </w:p>
    <w:p>
      <w:pPr>
        <w:pStyle w:val="Compact"/>
        <w:numPr>
          <w:ilvl w:val="0"/>
          <w:numId w:val="1005"/>
        </w:numPr>
      </w:pPr>
      <w:r>
        <w:t xml:space="preserve">Positive U.S. guest counts.</w:t>
      </w:r>
    </w:p>
    <w:p>
      <w:pPr>
        <w:pStyle w:val="Compact"/>
        <w:numPr>
          <w:ilvl w:val="0"/>
          <w:numId w:val="1005"/>
        </w:numPr>
      </w:pPr>
      <w:r>
        <w:t xml:space="preserve">Continued share gains among lower-income customers.</w:t>
      </w:r>
    </w:p>
    <w:p>
      <w:pPr>
        <w:pStyle w:val="Compact"/>
        <w:numPr>
          <w:ilvl w:val="0"/>
          <w:numId w:val="1005"/>
        </w:numPr>
      </w:pPr>
      <w:r>
        <w:t xml:space="preserve">Evidence that discounted offers are incremental rather than cannibalizing full-price orders.</w:t>
      </w:r>
    </w:p>
    <w:p>
      <w:pPr>
        <w:pStyle w:val="Compact"/>
        <w:numPr>
          <w:ilvl w:val="0"/>
          <w:numId w:val="1005"/>
        </w:numPr>
      </w:pPr>
      <w:r>
        <w:t xml:space="preserve">Improving value scores without a material franchisee-margin hit.</w:t>
      </w:r>
    </w:p>
    <w:p>
      <w:pPr>
        <w:pStyle w:val="Compact"/>
        <w:numPr>
          <w:ilvl w:val="0"/>
          <w:numId w:val="1005"/>
        </w:numPr>
      </w:pPr>
      <w:r>
        <w:t xml:space="preserve">Strong attachment or trade-up from value meals into beverages, fries, or premium items.</w:t>
      </w:r>
    </w:p>
    <w:bookmarkEnd w:id="15"/>
    <w:bookmarkStart w:id="16" w:name="what-would-be-concerning"/>
    <w:p>
      <w:pPr>
        <w:pStyle w:val="Heading3"/>
      </w:pPr>
      <w:r>
        <w:t xml:space="preserve">What would be concerning</w:t>
      </w:r>
    </w:p>
    <w:p>
      <w:pPr>
        <w:pStyle w:val="Compact"/>
        <w:numPr>
          <w:ilvl w:val="0"/>
          <w:numId w:val="1006"/>
        </w:numPr>
      </w:pPr>
      <w:r>
        <w:t xml:space="preserve">Comp growth driven almost entirely by price.</w:t>
      </w:r>
    </w:p>
    <w:p>
      <w:pPr>
        <w:pStyle w:val="Compact"/>
        <w:numPr>
          <w:ilvl w:val="0"/>
          <w:numId w:val="1006"/>
        </w:numPr>
      </w:pPr>
      <w:r>
        <w:t xml:space="preserve">Renewed deterioration among lower-income consumers.</w:t>
      </w:r>
    </w:p>
    <w:p>
      <w:pPr>
        <w:pStyle w:val="Compact"/>
        <w:numPr>
          <w:ilvl w:val="0"/>
          <w:numId w:val="1006"/>
        </w:numPr>
      </w:pPr>
      <w:r>
        <w:t xml:space="preserve">A need for additional corporate subsidies to sustain value pricing.</w:t>
      </w:r>
    </w:p>
    <w:p>
      <w:pPr>
        <w:pStyle w:val="Compact"/>
        <w:numPr>
          <w:ilvl w:val="0"/>
          <w:numId w:val="1006"/>
        </w:numPr>
      </w:pPr>
      <w:r>
        <w:t xml:space="preserve">Franchisee resistance or falling restaurant cash flow.</w:t>
      </w:r>
    </w:p>
    <w:p>
      <w:pPr>
        <w:pStyle w:val="FirstParagraph"/>
      </w:pPr>
      <w:r>
        <w:t xml:space="preserve">McDonald’s needs value to drive volume, but it cannot allow the value strategy to become structurally dependent on corporate support.</w:t>
      </w:r>
    </w:p>
    <w:p>
      <w:r>
        <w:pict>
          <v:rect style="width:0;height:1.5pt" o:hralign="center" o:hrstd="t" o:hr="t"/>
        </w:pict>
      </w:r>
    </w:p>
    <w:bookmarkEnd w:id="16"/>
    <w:bookmarkEnd w:id="17"/>
    <w:bookmarkStart w:id="18" w:name="X7b9fd6c18a37cda22c55c90519e3ede91220b77"/>
    <w:p>
      <w:pPr>
        <w:pStyle w:val="Heading2"/>
      </w:pPr>
      <w:r>
        <w:t xml:space="preserve">3. Beverages and World Cup marketing are the upside levers</w:t>
      </w:r>
    </w:p>
    <w:p>
      <w:pPr>
        <w:pStyle w:val="FirstParagraph"/>
      </w:pPr>
      <w:r>
        <w:t xml:space="preserve">McDonald’s launched its expanded U.S. McCafé beverage platform at the beginning of May, initially featuring refreshers and crafted sodas, with energy-drink offerings expected later. Similar beverage initiatives were launched in Canada and Germany after favorable testing in the U.S. and Australia.</w:t>
      </w:r>
    </w:p>
    <w:p>
      <w:pPr>
        <w:pStyle w:val="BodyText"/>
      </w:pPr>
      <w:r>
        <w:t xml:space="preserve">Management has presented beverages as an opportunity to:</w:t>
      </w:r>
    </w:p>
    <w:p>
      <w:pPr>
        <w:pStyle w:val="Compact"/>
        <w:numPr>
          <w:ilvl w:val="0"/>
          <w:numId w:val="1007"/>
        </w:numPr>
      </w:pPr>
      <w:r>
        <w:t xml:space="preserve">Create incremental afternoon and evening visits.</w:t>
      </w:r>
    </w:p>
    <w:p>
      <w:pPr>
        <w:pStyle w:val="Compact"/>
        <w:numPr>
          <w:ilvl w:val="0"/>
          <w:numId w:val="1007"/>
        </w:numPr>
      </w:pPr>
      <w:r>
        <w:t xml:space="preserve">Increase average check.</w:t>
      </w:r>
    </w:p>
    <w:p>
      <w:pPr>
        <w:pStyle w:val="Compact"/>
        <w:numPr>
          <w:ilvl w:val="0"/>
          <w:numId w:val="1007"/>
        </w:numPr>
      </w:pPr>
      <w:r>
        <w:t xml:space="preserve">Attract younger and digitally engaged customers.</w:t>
      </w:r>
    </w:p>
    <w:p>
      <w:pPr>
        <w:pStyle w:val="Compact"/>
        <w:numPr>
          <w:ilvl w:val="0"/>
          <w:numId w:val="1007"/>
        </w:numPr>
      </w:pPr>
      <w:r>
        <w:t xml:space="preserve">Compete more effectively for occasions currently served by coffee and specialty-drink chains.</w:t>
      </w:r>
    </w:p>
    <w:p>
      <w:pPr>
        <w:pStyle w:val="Compact"/>
        <w:numPr>
          <w:ilvl w:val="0"/>
          <w:numId w:val="1007"/>
        </w:numPr>
      </w:pPr>
      <w:r>
        <w:t xml:space="preserve">Generate new product news without relying exclusively on discounted food.</w:t>
      </w:r>
    </w:p>
    <w:p>
      <w:pPr>
        <w:pStyle w:val="FirstParagraph"/>
      </w:pPr>
      <w:r>
        <w:t xml:space="preserve">Q2 will provide the first meaningful evidence from the nationwide U.S. launch. Investors should listen for sales mix, incremental transactions, operational complexity, and whether results remained encouraging beyond the initial novelty period.</w:t>
      </w:r>
    </w:p>
    <w:p>
      <w:pPr>
        <w:pStyle w:val="BodyText"/>
      </w:pPr>
      <w:r>
        <w:t xml:space="preserve">The FIFA World Cup partnership is another potential swing factor. Management expected the North American tournament to provide a larger benefit than previous World Cups because matches were hosted across the U.S., Canada, and Mexico. The key question is whether the campaign materially improved traffic and loyalty engagement—or primarily generated brand visibility without a strong sales conversion.</w:t>
      </w:r>
    </w:p>
    <w:p>
      <w:r>
        <w:pict>
          <v:rect style="width:0;height:1.5pt" o:hralign="center" o:hrstd="t" o:hr="t"/>
        </w:pict>
      </w:r>
    </w:p>
    <w:bookmarkEnd w:id="18"/>
    <w:bookmarkStart w:id="19" w:name="X5c537c8dddd465af48a7098def140914ad286d1"/>
    <w:p>
      <w:pPr>
        <w:pStyle w:val="Heading2"/>
      </w:pPr>
      <w:r>
        <w:t xml:space="preserve">4. Margins may matter more than the EPS beat or miss</w:t>
      </w:r>
    </w:p>
    <w:p>
      <w:pPr>
        <w:pStyle w:val="FirstParagraph"/>
      </w:pPr>
      <w:r>
        <w:t xml:space="preserve">McDonald’s generated a 46% adjusted operating margin in Q1, but management called U.S. company-operated restaurant margins “not acceptable.”</w:t>
      </w:r>
    </w:p>
    <w:p>
      <w:pPr>
        <w:pStyle w:val="BodyText"/>
      </w:pPr>
      <w:r>
        <w:t xml:space="preserve">The primary issues included:</w:t>
      </w:r>
    </w:p>
    <w:p>
      <w:pPr>
        <w:pStyle w:val="Compact"/>
        <w:numPr>
          <w:ilvl w:val="0"/>
          <w:numId w:val="1008"/>
        </w:numPr>
      </w:pPr>
      <w:r>
        <w:t xml:space="preserve">Additional restaurant labor.</w:t>
      </w:r>
    </w:p>
    <w:p>
      <w:pPr>
        <w:pStyle w:val="Compact"/>
        <w:numPr>
          <w:ilvl w:val="0"/>
          <w:numId w:val="1008"/>
        </w:numPr>
      </w:pPr>
      <w:r>
        <w:t xml:space="preserve">Restrained menu pricing.</w:t>
      </w:r>
    </w:p>
    <w:p>
      <w:pPr>
        <w:pStyle w:val="Compact"/>
        <w:numPr>
          <w:ilvl w:val="0"/>
          <w:numId w:val="1008"/>
        </w:numPr>
      </w:pPr>
      <w:r>
        <w:t xml:space="preserve">Beef and other commodity inflation.</w:t>
      </w:r>
    </w:p>
    <w:p>
      <w:pPr>
        <w:pStyle w:val="Compact"/>
        <w:numPr>
          <w:ilvl w:val="0"/>
          <w:numId w:val="1008"/>
        </w:numPr>
      </w:pPr>
      <w:r>
        <w:t xml:space="preserve">Value-related mix pressure.</w:t>
      </w:r>
    </w:p>
    <w:p>
      <w:pPr>
        <w:pStyle w:val="Compact"/>
        <w:numPr>
          <w:ilvl w:val="0"/>
          <w:numId w:val="1008"/>
        </w:numPr>
      </w:pPr>
      <w:r>
        <w:t xml:space="preserve">Broader pressure on franchisee cash flow.</w:t>
      </w:r>
    </w:p>
    <w:p>
      <w:pPr>
        <w:pStyle w:val="FirstParagraph"/>
      </w:pPr>
      <w:r>
        <w:t xml:space="preserve">Management’s prior assumptions included low- to mid-single-digit U.S. food-and-paper inflation and mid-single-digit inflation in International Operated Markets. Hedging should provide some near-term protection, but management also warned of higher inflation risks later in 2026 and into 2027.</w:t>
      </w:r>
    </w:p>
    <w:p>
      <w:pPr>
        <w:pStyle w:val="BodyText"/>
      </w:pPr>
      <w:r>
        <w:t xml:space="preserve">Investors should therefore separate:</w:t>
      </w:r>
    </w:p>
    <w:p>
      <w:pPr>
        <w:pStyle w:val="Compact"/>
        <w:numPr>
          <w:ilvl w:val="0"/>
          <w:numId w:val="1009"/>
        </w:numPr>
      </w:pPr>
      <w:r>
        <w:rPr>
          <w:b/>
          <w:bCs/>
        </w:rPr>
        <w:t xml:space="preserve">Franchised margin dollars</w:t>
      </w:r>
      <w:r>
        <w:t xml:space="preserve">, which should continue benefiting from systemwide sales and unit growth.</w:t>
      </w:r>
    </w:p>
    <w:p>
      <w:pPr>
        <w:pStyle w:val="Compact"/>
        <w:numPr>
          <w:ilvl w:val="0"/>
          <w:numId w:val="1009"/>
        </w:numPr>
      </w:pPr>
      <w:r>
        <w:rPr>
          <w:b/>
          <w:bCs/>
        </w:rPr>
        <w:t xml:space="preserve">Company-operated restaurant margins</w:t>
      </w:r>
      <w:r>
        <w:t xml:space="preserve">, where labor and commodity pressure are more visible.</w:t>
      </w:r>
    </w:p>
    <w:p>
      <w:pPr>
        <w:pStyle w:val="Compact"/>
        <w:numPr>
          <w:ilvl w:val="0"/>
          <w:numId w:val="1009"/>
        </w:numPr>
      </w:pPr>
      <w:r>
        <w:rPr>
          <w:b/>
          <w:bCs/>
        </w:rPr>
        <w:t xml:space="preserve">Franchisee economics</w:t>
      </w:r>
      <w:r>
        <w:t xml:space="preserve">, which determine whether operators can support value offers, remodels, and new-unit development.</w:t>
      </w:r>
    </w:p>
    <w:p>
      <w:pPr>
        <w:pStyle w:val="FirstParagraph"/>
      </w:pPr>
      <w:r>
        <w:t xml:space="preserve">Any improvement in U.S. company-operated margins would be a positive surprise. Conversely, a sales beat achieved through heavy discounting but accompanied by weaker restaurant margins would be low quality.</w:t>
      </w:r>
    </w:p>
    <w:p>
      <w:r>
        <w:pict>
          <v:rect style="width:0;height:1.5pt" o:hralign="center" o:hrstd="t" o:hr="t"/>
        </w:pict>
      </w:r>
    </w:p>
    <w:bookmarkEnd w:id="19"/>
    <w:bookmarkStart w:id="21" w:name="X86e3ac9dd5784fa1a6693ccbff4fe3a9f1907b8"/>
    <w:p>
      <w:pPr>
        <w:pStyle w:val="Heading2"/>
      </w:pPr>
      <w:r>
        <w:t xml:space="preserve">5. Guidance and the September Investor Day</w:t>
      </w:r>
    </w:p>
    <w:p>
      <w:pPr>
        <w:pStyle w:val="FirstParagraph"/>
      </w:pPr>
      <w:r>
        <w:t xml:space="preserve">McDonald’s reaffirmed its full-year targets after Q1. The principal goals include:</w:t>
      </w:r>
    </w:p>
    <w:p>
      <w:pPr>
        <w:pStyle w:val="Compact"/>
        <w:numPr>
          <w:ilvl w:val="0"/>
          <w:numId w:val="1010"/>
        </w:numPr>
      </w:pPr>
      <w:r>
        <w:t xml:space="preserve">Operating margin in the</w:t>
      </w:r>
      <w:r>
        <w:t xml:space="preserve"> </w:t>
      </w:r>
      <w:r>
        <w:rPr>
          <w:b/>
          <w:bCs/>
        </w:rPr>
        <w:t xml:space="preserve">mid- to high-40% range</w:t>
      </w:r>
      <w:r>
        <w:t xml:space="preserve">, expanding from 2025’s adjusted 46.9%.</w:t>
      </w:r>
    </w:p>
    <w:p>
      <w:pPr>
        <w:pStyle w:val="Compact"/>
        <w:numPr>
          <w:ilvl w:val="0"/>
          <w:numId w:val="1010"/>
        </w:numPr>
      </w:pPr>
      <w:r>
        <w:t xml:space="preserve">Roughly</w:t>
      </w:r>
      <w:r>
        <w:t xml:space="preserve"> </w:t>
      </w:r>
      <w:r>
        <w:rPr>
          <w:b/>
          <w:bCs/>
        </w:rPr>
        <w:t xml:space="preserve">2,100 net restaurant additions</w:t>
      </w:r>
      <w:r>
        <w:t xml:space="preserve"> </w:t>
      </w:r>
      <w:r>
        <w:t xml:space="preserve">and approximately 2,600 gross openings.</w:t>
      </w:r>
    </w:p>
    <w:p>
      <w:pPr>
        <w:pStyle w:val="Compact"/>
        <w:numPr>
          <w:ilvl w:val="0"/>
          <w:numId w:val="1010"/>
        </w:numPr>
      </w:pPr>
      <w:r>
        <w:t xml:space="preserve">About a</w:t>
      </w:r>
      <w:r>
        <w:t xml:space="preserve"> </w:t>
      </w:r>
      <w:r>
        <w:rPr>
          <w:b/>
          <w:bCs/>
        </w:rPr>
        <w:t xml:space="preserve">2.5% contribution to systemwide sales growth</w:t>
      </w:r>
      <w:r>
        <w:t xml:space="preserve"> </w:t>
      </w:r>
      <w:r>
        <w:t xml:space="preserve">from unit expansion.</w:t>
      </w:r>
    </w:p>
    <w:p>
      <w:pPr>
        <w:pStyle w:val="Compact"/>
        <w:numPr>
          <w:ilvl w:val="0"/>
          <w:numId w:val="1010"/>
        </w:numPr>
      </w:pPr>
      <w:r>
        <w:t xml:space="preserve">Capital expenditures of</w:t>
      </w:r>
      <w:r>
        <w:t xml:space="preserve"> </w:t>
      </w:r>
      <m:oMath>
        <m:r>
          <m:t>3.7</m:t>
        </m:r>
        <m:r>
          <m:rPr>
            <m:sty m:val="p"/>
          </m:rPr>
          <m:t>–</m:t>
        </m:r>
      </m:oMath>
      <w:r>
        <w:rPr>
          <w:b/>
          <w:bCs/>
        </w:rPr>
        <w:t xml:space="preserve">3.9 billion</w:t>
      </w:r>
      <w:r>
        <w:t xml:space="preserve">.</w:t>
      </w:r>
    </w:p>
    <w:p>
      <w:pPr>
        <w:pStyle w:val="Compact"/>
        <w:numPr>
          <w:ilvl w:val="0"/>
          <w:numId w:val="1010"/>
        </w:numPr>
      </w:pPr>
      <w:r>
        <w:t xml:space="preserve">Free-cash-flow conversion in the</w:t>
      </w:r>
      <w:r>
        <w:t xml:space="preserve"> </w:t>
      </w:r>
      <w:r>
        <w:rPr>
          <w:b/>
          <w:bCs/>
        </w:rPr>
        <w:t xml:space="preserve">low- to mid-80% range</w:t>
      </w:r>
      <w:r>
        <w:t xml:space="preserve">.</w:t>
      </w:r>
    </w:p>
    <w:p>
      <w:pPr>
        <w:pStyle w:val="Compact"/>
        <w:numPr>
          <w:ilvl w:val="0"/>
          <w:numId w:val="1010"/>
        </w:numPr>
      </w:pPr>
      <w:r>
        <w:t xml:space="preserve">A foreign-exchange benefit of approximately</w:t>
      </w:r>
      <w:r>
        <w:t xml:space="preserve"> </w:t>
      </w:r>
      <m:oMath>
        <m:r>
          <m:t>0.20</m:t>
        </m:r>
        <m:r>
          <m:rPr>
            <m:sty m:val="p"/>
          </m:rPr>
          <m:t>–</m:t>
        </m:r>
      </m:oMath>
      <w:r>
        <w:rPr>
          <w:b/>
          <w:bCs/>
        </w:rPr>
        <w:t xml:space="preserve">0.30 to full-year EPS</w:t>
      </w:r>
      <w:r>
        <w:t xml:space="preserve">.</w:t>
      </w:r>
    </w:p>
    <w:p>
      <w:pPr>
        <w:pStyle w:val="FirstParagraph"/>
      </w:pPr>
      <w:r>
        <w:t xml:space="preserve">Longer-term targets include annual unit growth of 4%–5% and approximately 50,000 restaurants by the end of 2027. (</w:t>
      </w:r>
      <w:hyperlink r:id="rId20">
        <w:r>
          <w:rPr>
            <w:rStyle w:val="Hyperlink"/>
          </w:rPr>
          <w:t xml:space="preserve">corporate.mcdonalds.com</w:t>
        </w:r>
      </w:hyperlink>
      <w:r>
        <w:t xml:space="preserve">)</w:t>
      </w:r>
    </w:p>
    <w:p>
      <w:pPr>
        <w:pStyle w:val="BodyText"/>
      </w:pPr>
      <w:r>
        <w:t xml:space="preserve">The base case is that management reaffirms guidance. But investors should watch for changes in the assumptions underneath it, especially:</w:t>
      </w:r>
    </w:p>
    <w:p>
      <w:pPr>
        <w:pStyle w:val="Compact"/>
        <w:numPr>
          <w:ilvl w:val="0"/>
          <w:numId w:val="1011"/>
        </w:numPr>
      </w:pPr>
      <w:r>
        <w:t xml:space="preserve">Commodity and energy inflation.</w:t>
      </w:r>
    </w:p>
    <w:p>
      <w:pPr>
        <w:pStyle w:val="Compact"/>
        <w:numPr>
          <w:ilvl w:val="0"/>
          <w:numId w:val="1011"/>
        </w:numPr>
      </w:pPr>
      <w:r>
        <w:t xml:space="preserve">Construction costs and new-restaurant returns.</w:t>
      </w:r>
    </w:p>
    <w:p>
      <w:pPr>
        <w:pStyle w:val="Compact"/>
        <w:numPr>
          <w:ilvl w:val="0"/>
          <w:numId w:val="1011"/>
        </w:numPr>
      </w:pPr>
      <w:r>
        <w:t xml:space="preserve">The balance between company and franchisee ownership.</w:t>
      </w:r>
    </w:p>
    <w:p>
      <w:pPr>
        <w:pStyle w:val="Compact"/>
        <w:numPr>
          <w:ilvl w:val="0"/>
          <w:numId w:val="1011"/>
        </w:numPr>
      </w:pPr>
      <w:r>
        <w:t xml:space="preserve">Remodel spending.</w:t>
      </w:r>
    </w:p>
    <w:p>
      <w:pPr>
        <w:pStyle w:val="Compact"/>
        <w:numPr>
          <w:ilvl w:val="0"/>
          <w:numId w:val="1011"/>
        </w:numPr>
      </w:pPr>
      <w:r>
        <w:t xml:space="preserve">Second-half comparable-sales expectations.</w:t>
      </w:r>
    </w:p>
    <w:p>
      <w:pPr>
        <w:pStyle w:val="FirstParagraph"/>
      </w:pPr>
      <w:r>
        <w:t xml:space="preserve">Management has also scheduled an Investor Day for</w:t>
      </w:r>
      <w:r>
        <w:t xml:space="preserve"> </w:t>
      </w:r>
      <w:r>
        <w:rPr>
          <w:b/>
          <w:bCs/>
        </w:rPr>
        <w:t xml:space="preserve">September 23, 2026</w:t>
      </w:r>
      <w:r>
        <w:t xml:space="preserve">. That may limit major strategic announcements on the earnings call, but it could also make management more willing to preview topics such as refranchising, remodel economics, digital capabilities, and the next generation of restaurant formats.</w:t>
      </w:r>
    </w:p>
    <w:p>
      <w:r>
        <w:pict>
          <v:rect style="width:0;height:1.5pt" o:hralign="center" o:hrstd="t" o:hr="t"/>
        </w:pict>
      </w:r>
    </w:p>
    <w:bookmarkEnd w:id="21"/>
    <w:bookmarkStart w:id="23" w:name="stock-setup"/>
    <w:p>
      <w:pPr>
        <w:pStyle w:val="Heading2"/>
      </w:pPr>
      <w:r>
        <w:t xml:space="preserve">Stock setup</w:t>
      </w:r>
    </w:p>
    <w:p>
      <w:pPr>
        <w:pStyle w:val="FirstParagraph"/>
      </w:pPr>
      <w:r>
        <w:t xml:space="preserve">MCD closed at approximately</w:t>
      </w:r>
      <w:r>
        <w:t xml:space="preserve"> </w:t>
      </w:r>
      <w:r>
        <w:rPr>
          <w:b/>
          <w:bCs/>
        </w:rPr>
        <w:t xml:space="preserve">$265.27 on August 3</w:t>
      </w:r>
      <w:r>
        <w:t xml:space="preserve">, down about</w:t>
      </w:r>
      <w:r>
        <w:t xml:space="preserve"> </w:t>
      </w:r>
      <w:r>
        <w:rPr>
          <w:b/>
          <w:bCs/>
        </w:rPr>
        <w:t xml:space="preserve">12.5% year to date</w:t>
      </w:r>
      <w:r>
        <w:t xml:space="preserve"> </w:t>
      </w:r>
      <w:r>
        <w:t xml:space="preserve">and roughly</w:t>
      </w:r>
      <w:r>
        <w:t xml:space="preserve"> </w:t>
      </w:r>
      <w:r>
        <w:rPr>
          <w:b/>
          <w:bCs/>
        </w:rPr>
        <w:t xml:space="preserve">6.5% since the Q1 report</w:t>
      </w:r>
      <w:r>
        <w:t xml:space="preserve">, while the broader market advanced over both periods.</w:t>
      </w:r>
    </w:p>
    <w:p>
      <w:pPr>
        <w:pStyle w:val="BodyText"/>
      </w:pPr>
      <w:r>
        <w:t xml:space="preserve">At that price, the stock trades at about</w:t>
      </w:r>
      <w:r>
        <w:t xml:space="preserve"> </w:t>
      </w:r>
      <w:r>
        <w:rPr>
          <w:b/>
          <w:bCs/>
        </w:rPr>
        <w:t xml:space="preserve">20.6 times</w:t>
      </w:r>
      <w:r>
        <w:t xml:space="preserve"> </w:t>
      </w:r>
      <w:r>
        <w:t xml:space="preserve">the current 2026 consensus EPS estimate of $12.86. The multiple is not demanding relative to McDonald’s historical quality and cash-flow profile, but it still assumes that current consumer and margin pressures are manageable rather than structural. The 2026 consensus EPS estimate has also edged lower recently. (</w:t>
      </w:r>
      <w:hyperlink r:id="rId22">
        <w:r>
          <w:rPr>
            <w:rStyle w:val="Hyperlink"/>
          </w:rPr>
          <w:t xml:space="preserve">zacks.com</w:t>
        </w:r>
      </w:hyperlink>
      <w:r>
        <w:t xml:space="preserve">)</w:t>
      </w:r>
    </w:p>
    <w:p>
      <w:pPr>
        <w:pStyle w:val="BodyText"/>
      </w:pPr>
      <w:r>
        <w:t xml:space="preserve">The underperformance lowers the bar, but it does not eliminate execution risk.</w:t>
      </w:r>
    </w:p>
    <w:p>
      <w:r>
        <w:pict>
          <v:rect style="width:0;height:1.5pt" o:hralign="center" o:hrstd="t" o:hr="t"/>
        </w:pict>
      </w:r>
    </w:p>
    <w:bookmarkEnd w:id="23"/>
    <w:bookmarkStart w:id="27" w:name="scenario-framework"/>
    <w:p>
      <w:pPr>
        <w:pStyle w:val="Heading2"/>
      </w:pPr>
      <w:r>
        <w:t xml:space="preserve">Scenario framework</w:t>
      </w:r>
    </w:p>
    <w:bookmarkStart w:id="24" w:name="bull-case"/>
    <w:p>
      <w:pPr>
        <w:pStyle w:val="Heading3"/>
      </w:pPr>
      <w:r>
        <w:t xml:space="preserve">Bull case</w:t>
      </w:r>
    </w:p>
    <w:p>
      <w:pPr>
        <w:pStyle w:val="Compact"/>
        <w:numPr>
          <w:ilvl w:val="0"/>
          <w:numId w:val="1012"/>
        </w:numPr>
      </w:pPr>
      <w:r>
        <w:t xml:space="preserve">Global and U.S. comps exceed expectations.</w:t>
      </w:r>
    </w:p>
    <w:p>
      <w:pPr>
        <w:pStyle w:val="Compact"/>
        <w:numPr>
          <w:ilvl w:val="0"/>
          <w:numId w:val="1012"/>
        </w:numPr>
      </w:pPr>
      <w:r>
        <w:t xml:space="preserve">U.S. guest counts are positive or materially improve through the quarter.</w:t>
      </w:r>
    </w:p>
    <w:p>
      <w:pPr>
        <w:pStyle w:val="Compact"/>
        <w:numPr>
          <w:ilvl w:val="0"/>
          <w:numId w:val="1012"/>
        </w:numPr>
      </w:pPr>
      <w:r>
        <w:t xml:space="preserve">McValue drives share gains without meaningful margin dilution.</w:t>
      </w:r>
    </w:p>
    <w:p>
      <w:pPr>
        <w:pStyle w:val="Compact"/>
        <w:numPr>
          <w:ilvl w:val="0"/>
          <w:numId w:val="1012"/>
        </w:numPr>
      </w:pPr>
      <w:r>
        <w:t xml:space="preserve">Beverage and World Cup programs provide measurable incremental sales.</w:t>
      </w:r>
    </w:p>
    <w:p>
      <w:pPr>
        <w:pStyle w:val="Compact"/>
        <w:numPr>
          <w:ilvl w:val="0"/>
          <w:numId w:val="1012"/>
        </w:numPr>
      </w:pPr>
      <w:r>
        <w:t xml:space="preserve">U.S. company-operated margins improve.</w:t>
      </w:r>
    </w:p>
    <w:p>
      <w:pPr>
        <w:pStyle w:val="Compact"/>
        <w:numPr>
          <w:ilvl w:val="0"/>
          <w:numId w:val="1012"/>
        </w:numPr>
      </w:pPr>
      <w:r>
        <w:t xml:space="preserve">Guidance is reaffirmed with constructive July commentary.</w:t>
      </w:r>
    </w:p>
    <w:p>
      <w:pPr>
        <w:pStyle w:val="FirstParagraph"/>
      </w:pPr>
      <w:r>
        <w:rPr>
          <w:b/>
          <w:bCs/>
        </w:rPr>
        <w:t xml:space="preserve">Likely interpretation:</w:t>
      </w:r>
      <w:r>
        <w:t xml:space="preserve"> </w:t>
      </w:r>
      <w:r>
        <w:t xml:space="preserve">The April slowdown was comparison-driven, and McDonald’s growth algorithm remains intact.</w:t>
      </w:r>
    </w:p>
    <w:bookmarkEnd w:id="24"/>
    <w:bookmarkStart w:id="25" w:name="base-case"/>
    <w:p>
      <w:pPr>
        <w:pStyle w:val="Heading3"/>
      </w:pPr>
      <w:r>
        <w:t xml:space="preserve">Base case</w:t>
      </w:r>
    </w:p>
    <w:p>
      <w:pPr>
        <w:pStyle w:val="Compact"/>
        <w:numPr>
          <w:ilvl w:val="0"/>
          <w:numId w:val="1013"/>
        </w:numPr>
      </w:pPr>
      <w:r>
        <w:t xml:space="preserve">Results are close to consensus.</w:t>
      </w:r>
    </w:p>
    <w:p>
      <w:pPr>
        <w:pStyle w:val="Compact"/>
        <w:numPr>
          <w:ilvl w:val="0"/>
          <w:numId w:val="1013"/>
        </w:numPr>
      </w:pPr>
      <w:r>
        <w:t xml:space="preserve">U.S. traffic remains slightly negative but outperforms peers.</w:t>
      </w:r>
    </w:p>
    <w:p>
      <w:pPr>
        <w:pStyle w:val="Compact"/>
        <w:numPr>
          <w:ilvl w:val="0"/>
          <w:numId w:val="1013"/>
        </w:numPr>
      </w:pPr>
      <w:r>
        <w:t xml:space="preserve">Margin pressure persists but does not worsen.</w:t>
      </w:r>
    </w:p>
    <w:p>
      <w:pPr>
        <w:pStyle w:val="Compact"/>
        <w:numPr>
          <w:ilvl w:val="0"/>
          <w:numId w:val="1013"/>
        </w:numPr>
      </w:pPr>
      <w:r>
        <w:t xml:space="preserve">Management reaffirms guidance while remaining cautious on consumers and inflation.</w:t>
      </w:r>
    </w:p>
    <w:p>
      <w:pPr>
        <w:pStyle w:val="FirstParagraph"/>
      </w:pPr>
      <w:r>
        <w:rPr>
          <w:b/>
          <w:bCs/>
        </w:rPr>
        <w:t xml:space="preserve">Likely interpretation:</w:t>
      </w:r>
      <w:r>
        <w:t xml:space="preserve"> </w:t>
      </w:r>
      <w:r>
        <w:t xml:space="preserve">A transitional quarter; attention shifts quickly to second-half sales trends and the September Investor Day.</w:t>
      </w:r>
    </w:p>
    <w:bookmarkEnd w:id="25"/>
    <w:bookmarkStart w:id="26" w:name="bear-case"/>
    <w:p>
      <w:pPr>
        <w:pStyle w:val="Heading3"/>
      </w:pPr>
      <w:r>
        <w:t xml:space="preserve">Bear case</w:t>
      </w:r>
    </w:p>
    <w:p>
      <w:pPr>
        <w:pStyle w:val="Compact"/>
        <w:numPr>
          <w:ilvl w:val="0"/>
          <w:numId w:val="1014"/>
        </w:numPr>
      </w:pPr>
      <w:r>
        <w:t xml:space="preserve">U.S. comps are flat or negative, with weakening guest counts.</w:t>
      </w:r>
    </w:p>
    <w:p>
      <w:pPr>
        <w:pStyle w:val="Compact"/>
        <w:numPr>
          <w:ilvl w:val="0"/>
          <w:numId w:val="1014"/>
        </w:numPr>
      </w:pPr>
      <w:r>
        <w:t xml:space="preserve">Value promotions require additional subsidies or hurt franchisee cash flow.</w:t>
      </w:r>
    </w:p>
    <w:p>
      <w:pPr>
        <w:pStyle w:val="Compact"/>
        <w:numPr>
          <w:ilvl w:val="0"/>
          <w:numId w:val="1014"/>
        </w:numPr>
      </w:pPr>
      <w:r>
        <w:t xml:space="preserve">Beverage and World Cup initiatives fail to offset consumer weakness.</w:t>
      </w:r>
    </w:p>
    <w:p>
      <w:pPr>
        <w:pStyle w:val="Compact"/>
        <w:numPr>
          <w:ilvl w:val="0"/>
          <w:numId w:val="1014"/>
        </w:numPr>
      </w:pPr>
      <w:r>
        <w:t xml:space="preserve">Restaurant margins contract materially.</w:t>
      </w:r>
    </w:p>
    <w:p>
      <w:pPr>
        <w:pStyle w:val="Compact"/>
        <w:numPr>
          <w:ilvl w:val="0"/>
          <w:numId w:val="1014"/>
        </w:numPr>
      </w:pPr>
      <w:r>
        <w:t xml:space="preserve">Management lowers guidance or becomes more cautious about development returns.</w:t>
      </w:r>
    </w:p>
    <w:p>
      <w:pPr>
        <w:pStyle w:val="FirstParagraph"/>
      </w:pPr>
      <w:r>
        <w:rPr>
          <w:b/>
          <w:bCs/>
        </w:rPr>
        <w:t xml:space="preserve">Likely interpretation:</w:t>
      </w:r>
      <w:r>
        <w:t xml:space="preserve"> </w:t>
      </w:r>
      <w:r>
        <w:t xml:space="preserve">McDonald’s is gaining insufficient traffic from discounting, raising questions about the durability of EPS growth.</w:t>
      </w:r>
    </w:p>
    <w:p>
      <w:r>
        <w:pict>
          <v:rect style="width:0;height:1.5pt" o:hralign="center" o:hrstd="t" o:hr="t"/>
        </w:pict>
      </w:r>
    </w:p>
    <w:bookmarkEnd w:id="26"/>
    <w:bookmarkEnd w:id="27"/>
    <w:bookmarkStart w:id="28" w:name="bottom-line"/>
    <w:p>
      <w:pPr>
        <w:pStyle w:val="Heading2"/>
      </w:pPr>
      <w:r>
        <w:t xml:space="preserve">Bottom line</w:t>
      </w:r>
    </w:p>
    <w:p>
      <w:pPr>
        <w:pStyle w:val="FirstParagraph"/>
      </w:pPr>
      <w:r>
        <w:t xml:space="preserve">The key hurdle is not simply beating approximately</w:t>
      </w:r>
      <w:r>
        <w:t xml:space="preserve"> </w:t>
      </w:r>
      <w:r>
        <w:rPr>
          <w:b/>
          <w:bCs/>
        </w:rPr>
        <w:t xml:space="preserve">$3.32 of EPS</w:t>
      </w:r>
      <w:r>
        <w:t xml:space="preserve">. McDonald’s needs to demonstrate that:</w:t>
      </w:r>
    </w:p>
    <w:p>
      <w:pPr>
        <w:pStyle w:val="Compact"/>
        <w:numPr>
          <w:ilvl w:val="0"/>
          <w:numId w:val="1015"/>
        </w:numPr>
      </w:pPr>
      <w:r>
        <w:t xml:space="preserve">The expected Q2 slowdown was largely caused by comparisons.</w:t>
      </w:r>
    </w:p>
    <w:p>
      <w:pPr>
        <w:pStyle w:val="Compact"/>
        <w:numPr>
          <w:ilvl w:val="0"/>
          <w:numId w:val="1015"/>
        </w:numPr>
      </w:pPr>
      <w:r>
        <w:t xml:space="preserve">U.S. traffic stabilized after April.</w:t>
      </w:r>
    </w:p>
    <w:p>
      <w:pPr>
        <w:pStyle w:val="Compact"/>
        <w:numPr>
          <w:ilvl w:val="0"/>
          <w:numId w:val="1015"/>
        </w:numPr>
      </w:pPr>
      <w:r>
        <w:t xml:space="preserve">Value is rebuilding affordability perceptions and market share.</w:t>
      </w:r>
    </w:p>
    <w:p>
      <w:pPr>
        <w:pStyle w:val="Compact"/>
        <w:numPr>
          <w:ilvl w:val="0"/>
          <w:numId w:val="1015"/>
        </w:numPr>
      </w:pPr>
      <w:r>
        <w:t xml:space="preserve">New beverages and marketing campaigns are incremental.</w:t>
      </w:r>
    </w:p>
    <w:p>
      <w:pPr>
        <w:pStyle w:val="Compact"/>
        <w:numPr>
          <w:ilvl w:val="0"/>
          <w:numId w:val="1015"/>
        </w:numPr>
      </w:pPr>
      <w:r>
        <w:t xml:space="preserve">Margin and franchisee economics remain healthy enough to support investment.</w:t>
      </w:r>
    </w:p>
    <w:p>
      <w:pPr>
        <w:pStyle w:val="FirstParagraph"/>
      </w:pPr>
      <w:r>
        <w:t xml:space="preserve">A clean quarter with improving exit trends could produce a favorable reaction given the stock’s underperformance. A modest EPS beat without better traffic or margin commentary is less likely to change the investment debate.</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corporate.mcdonalds.com/content/dam/sites/corp/nfl/pdf/2025%20Q2%20Earnings%20Release.pdf" TargetMode="External" /><Relationship Type="http://schemas.openxmlformats.org/officeDocument/2006/relationships/hyperlink" Id="rId13" Target="https://corporate.mcdonalds.com/content/dam/sites/corp/nfl/pdf/Q1%202026%20Exhibit%2099.1%20-%203.31.26.pdf" TargetMode="External" /><Relationship Type="http://schemas.openxmlformats.org/officeDocument/2006/relationships/hyperlink" Id="rId20" Target="https://corporate.mcdonalds.com/corpmcd/our-stories/article/mcd-announces-targets-development-loyalty-membership-cloud-tech.htmlMcDonald.html?utm_source=openai" TargetMode="External" /><Relationship Type="http://schemas.openxmlformats.org/officeDocument/2006/relationships/hyperlink" Id="rId9" Target="https://www.tipranks.com/stocks/mcd/earnings?utm_source=openai" TargetMode="External" /><Relationship Type="http://schemas.openxmlformats.org/officeDocument/2006/relationships/hyperlink" Id="rId22" Target="https://www.zacks.com/stock/news/2957656/mcdonalds-mcd-stock-declines-while-market-improves-some-information-for-investors?cid=CS-ZC-FT-tale_of_the_tape%7Cyseop_template_6v1-2957656&amp;utm_source=openai" TargetMode="External" /></Relationships>
</file>

<file path=word/_rels/footnotes.xml.rels><?xml version="1.0" encoding="UTF-8"?><Relationships xmlns="http://schemas.openxmlformats.org/package/2006/relationships"><Relationship Type="http://schemas.openxmlformats.org/officeDocument/2006/relationships/hyperlink" Id="rId11" Target="https://corporate.mcdonalds.com/content/dam/sites/corp/nfl/pdf/2025%20Q2%20Earnings%20Release.pdf" TargetMode="External" /><Relationship Type="http://schemas.openxmlformats.org/officeDocument/2006/relationships/hyperlink" Id="rId13" Target="https://corporate.mcdonalds.com/content/dam/sites/corp/nfl/pdf/Q1%202026%20Exhibit%2099.1%20-%203.31.26.pdf" TargetMode="External" /><Relationship Type="http://schemas.openxmlformats.org/officeDocument/2006/relationships/hyperlink" Id="rId20" Target="https://corporate.mcdonalds.com/corpmcd/our-stories/article/mcd-announces-targets-development-loyalty-membership-cloud-tech.htmlMcDonald.html?utm_source=openai" TargetMode="External" /><Relationship Type="http://schemas.openxmlformats.org/officeDocument/2006/relationships/hyperlink" Id="rId9" Target="https://www.tipranks.com/stocks/mcd/earnings?utm_source=openai" TargetMode="External" /><Relationship Type="http://schemas.openxmlformats.org/officeDocument/2006/relationships/hyperlink" Id="rId22" Target="https://www.zacks.com/stock/news/2957656/mcdonalds-mcd-stock-declines-while-market-improves-some-information-for-investors?cid=CS-ZC-FT-tale_of_the_tape%7Cyseop_template_6v1-2957656&amp;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2026-08-04T00:45:02Z</dcterms:created>
  <dcterms:modified xsi:type="dcterms:W3CDTF">2026-08-04T00:45:02Z</dcterms:modified>
</cp:coreProperties>
</file>

<file path=docProps/custom.xml><?xml version="1.0" encoding="utf-8"?>
<Properties xmlns="http://schemas.openxmlformats.org/officeDocument/2006/custom-properties" xmlns:vt="http://schemas.openxmlformats.org/officeDocument/2006/docPropsVTypes"/>
</file>