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d-earnings-predictions--2026-08-04"/>
    <w:p>
      <w:pPr>
        <w:pStyle w:val="Heading1"/>
      </w:pPr>
      <w:r>
        <w:t xml:space="preserve">MCD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~0.3% vs. cons 1.4%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~-0.4% vs. cons 0.95%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~$3.34 vs. cons $3.32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~46.0% vs. cons 46.5%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restaurant additions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~2,100 vs. cons 2,100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foreign-exchange EPS benefit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~$0.25 vs. cons $0.25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(FADE)</w:t>
            </w:r>
          </w:p>
        </w:tc>
        <w:tc>
          <w:tcPr/>
          <w:p>
            <w:pPr>
              <w:pStyle w:val="Compact"/>
            </w:pPr>
            <w:r>
              <w:t xml:space="preserve">A ~0.3% global-comp result versus 1.4% consensus and softer U.S. traffic should create an initial ~-2.8% residual reaction, but ~$3.34 EPS versus</w:t>
            </w:r>
            <w:r>
              <w:t xml:space="preserve"> </w:t>
            </w:r>
            <m:oMath>
              <m:r>
                <m:t>3.32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c</m:t>
              </m:r>
              <m:r>
                <m:t>t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100</m:t>
              </m:r>
              <m:r>
                <m:rPr>
                  <m:sty m:val="p"/>
                </m:rPr>
                <m:t>−</m:t>
              </m:r>
              <m:r>
                <m:t>u</m:t>
              </m:r>
              <m:r>
                <m:t>n</m:t>
              </m:r>
              <m:r>
                <m:t>i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0.25 FX guidance limits out-period estimate cuts; the five-day residual should fade toward ~-1.2% versus a 0.0% neutral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2026-08-04T00:44:35Z</dcterms:created>
  <dcterms:modified xsi:type="dcterms:W3CDTF">2026-08-04T00:44:35Z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