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mcdonalds-mcd-2026q2-earnings-preview"/>
    <w:p>
      <w:pPr>
        <w:pStyle w:val="Heading1"/>
      </w:pPr>
      <w:r>
        <w:t xml:space="preserve">McDonald’s (MCD) 2026Q2 Earnings Preview</w:t>
      </w:r>
    </w:p>
    <w:p>
      <w:pPr>
        <w:pStyle w:val="BlockText"/>
      </w:pPr>
      <w:r>
        <w:rPr>
          <w:b/>
          <w:bCs/>
        </w:rPr>
        <w:t xml:space="preserve">Timing note:</w:t>
      </w:r>
      <w:r>
        <w:t xml:space="preserve"> </w:t>
      </w:r>
      <w:r>
        <w:t xml:space="preserve">The event date provided is</w:t>
      </w:r>
      <w:r>
        <w:t xml:space="preserve"> </w:t>
      </w:r>
      <w:r>
        <w:rPr>
          <w:b/>
          <w:bCs/>
        </w:rPr>
        <w:t xml:space="preserve">Tuesday, August 4, 2026</w:t>
      </w:r>
      <w:r>
        <w:t xml:space="preserve">—which is</w:t>
      </w:r>
      <w:r>
        <w:t xml:space="preserve"> </w:t>
      </w:r>
      <w:r>
        <w:rPr>
          <w:b/>
          <w:bCs/>
        </w:rPr>
        <w:t xml:space="preserve">today</w:t>
      </w:r>
      <w:r>
        <w:t xml:space="preserve">, not tomorrow. McDonald’s is scheduled to report</w:t>
      </w:r>
      <w:r>
        <w:t xml:space="preserve"> </w:t>
      </w:r>
      <w:r>
        <w:rPr>
          <w:b/>
          <w:bCs/>
        </w:rPr>
        <w:t xml:space="preserve">before the U.S. market open</w:t>
      </w:r>
      <w:r>
        <w:t xml:space="preserve">.</w:t>
      </w:r>
    </w:p>
    <w:bookmarkStart w:id="9" w:name="bottom-line"/>
    <w:p>
      <w:pPr>
        <w:pStyle w:val="Heading2"/>
      </w:pPr>
      <w:r>
        <w:t xml:space="preserve">Bottom line</w:t>
      </w:r>
    </w:p>
    <w:p>
      <w:pPr>
        <w:pStyle w:val="FirstParagraph"/>
      </w:pPr>
      <w:r>
        <w:t xml:space="preserve">McDonald’s enters 2Q with expectations for a</w:t>
      </w:r>
      <w:r>
        <w:t xml:space="preserve"> </w:t>
      </w:r>
      <w:r>
        <w:rPr>
          <w:b/>
          <w:bCs/>
        </w:rPr>
        <w:t xml:space="preserve">deliberate slowdown in comparable-sales growth</w:t>
      </w:r>
      <w:r>
        <w:t xml:space="preserve">, rather than a fundamental break in the story. Management telegraphed this outcome in May: April would be weak because it lapped the highly successful</w:t>
      </w:r>
      <w:r>
        <w:t xml:space="preserve"> </w:t>
      </w:r>
      <w:r>
        <w:rPr>
          <w:i/>
          <w:iCs/>
        </w:rPr>
        <w:t xml:space="preserve">Minecraft</w:t>
      </w:r>
      <w:r>
        <w:t xml:space="preserve"> </w:t>
      </w:r>
      <w:r>
        <w:t xml:space="preserve">promotion in the prior year, while underlying momentum should improve through the balance of the quarter.</w:t>
      </w:r>
    </w:p>
    <w:p>
      <w:pPr>
        <w:pStyle w:val="BodyText"/>
      </w:pPr>
      <w:r>
        <w:t xml:space="preserve">The central investment question is therefore not simply whether MCD clears a modest quarterly comp and EPS bar. It is whether management can demonstrate that its formula—</w:t>
      </w:r>
      <w:r>
        <w:rPr>
          <w:b/>
          <w:bCs/>
        </w:rPr>
        <w:t xml:space="preserve">clear value, culturally relevant marketing, and menu innovation</w:t>
      </w:r>
      <w:r>
        <w:t xml:space="preserve">—is sustaining</w:t>
      </w:r>
      <w:r>
        <w:t xml:space="preserve"> </w:t>
      </w:r>
      <w:r>
        <w:rPr>
          <w:b/>
          <w:bCs/>
        </w:rPr>
        <w:t xml:space="preserve">traffic and market-share gains</w:t>
      </w:r>
      <w:r>
        <w:t xml:space="preserve"> </w:t>
      </w:r>
      <w:r>
        <w:t xml:space="preserve">without creating a more serious drag on franchisee economics or restaurant-level margins.</w:t>
      </w:r>
    </w:p>
    <w:p>
      <w:pPr>
        <w:pStyle w:val="BodyText"/>
      </w:pPr>
      <w:r>
        <w:t xml:space="preserve">The stock closed at</w:t>
      </w:r>
      <w:r>
        <w:t xml:space="preserve"> </w:t>
      </w:r>
      <w:r>
        <w:rPr>
          <w:b/>
          <w:bCs/>
        </w:rPr>
        <w:t xml:space="preserve">$265.27 on August 3</w:t>
      </w:r>
      <w:r>
        <w:t xml:space="preserve">, down roughly</w:t>
      </w:r>
      <w:r>
        <w:t xml:space="preserve"> </w:t>
      </w:r>
      <w:r>
        <w:rPr>
          <w:b/>
          <w:bCs/>
        </w:rPr>
        <w:t xml:space="preserve">13.7% from its April 1 close</w:t>
      </w:r>
      <w:r>
        <w:t xml:space="preserve">, leaving the setup more dependent on execution, guidance confidence, and the quality of U.S. traffic than on an outright headline beat.</w:t>
      </w:r>
    </w:p>
    <w:bookmarkEnd w:id="9"/>
    <w:bookmarkStart w:id="10" w:name="what-the-street-expects"/>
    <w:p>
      <w:pPr>
        <w:pStyle w:val="Heading2"/>
      </w:pPr>
      <w:r>
        <w:t xml:space="preserve">What the Street expects</w:t>
      </w:r>
    </w:p>
    <w:p>
      <w:pPr>
        <w:pStyle w:val="FirstParagraph"/>
      </w:pPr>
      <w:r>
        <w:t xml:space="preserve">Pre-earnings expectations cited in the recent market digest call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2Q26 expectation</w:t>
            </w:r>
          </w:p>
        </w:tc>
      </w:tr>
      <w:tr>
        <w:tc>
          <w:tcPr/>
          <w:p>
            <w:pPr>
              <w:pStyle w:val="Compact"/>
            </w:pPr>
            <w:r>
              <w:t xml:space="preserve">Total comparable sales</w:t>
            </w:r>
          </w:p>
        </w:tc>
        <w:tc>
          <w:tcPr/>
          <w:p>
            <w:pPr>
              <w:pStyle w:val="Compact"/>
              <w:jc w:val="right"/>
            </w:pPr>
            <w:r>
              <w:rPr>
                <w:b/>
                <w:bCs/>
              </w:rPr>
              <w:t xml:space="preserve">+1.4%</w:t>
            </w:r>
          </w:p>
        </w:tc>
      </w:tr>
      <w:tr>
        <w:tc>
          <w:tcPr/>
          <w:p>
            <w:pPr>
              <w:pStyle w:val="Compact"/>
            </w:pPr>
            <w:r>
              <w:t xml:space="preserve">U.S. comparable sales</w:t>
            </w:r>
          </w:p>
        </w:tc>
        <w:tc>
          <w:tcPr/>
          <w:p>
            <w:pPr>
              <w:pStyle w:val="Compact"/>
              <w:jc w:val="right"/>
            </w:pPr>
            <w:r>
              <w:rPr>
                <w:b/>
                <w:bCs/>
              </w:rPr>
              <w:t xml:space="preserve">+0.95%</w:t>
            </w:r>
          </w:p>
        </w:tc>
      </w:tr>
      <w:tr>
        <w:tc>
          <w:tcPr/>
          <w:p>
            <w:pPr>
              <w:pStyle w:val="Compact"/>
            </w:pPr>
            <w:r>
              <w:t xml:space="preserve">Operating margin</w:t>
            </w:r>
          </w:p>
        </w:tc>
        <w:tc>
          <w:tcPr/>
          <w:p>
            <w:pPr>
              <w:pStyle w:val="Compact"/>
              <w:jc w:val="right"/>
            </w:pPr>
            <w:r>
              <w:rPr>
                <w:b/>
                <w:bCs/>
              </w:rPr>
              <w:t xml:space="preserve">45.2%</w:t>
            </w:r>
          </w:p>
        </w:tc>
      </w:tr>
      <w:tr>
        <w:tc>
          <w:tcPr/>
          <w:p>
            <w:pPr>
              <w:pStyle w:val="Compact"/>
            </w:pPr>
            <w:r>
              <w:t xml:space="preserve">EPS</w:t>
            </w:r>
          </w:p>
        </w:tc>
        <w:tc>
          <w:tcPr/>
          <w:p>
            <w:pPr>
              <w:pStyle w:val="Compact"/>
              <w:jc w:val="right"/>
            </w:pPr>
            <w:r>
              <w:rPr>
                <w:b/>
                <w:bCs/>
              </w:rPr>
              <w:t xml:space="preserve">$3.32</w:t>
            </w:r>
          </w:p>
        </w:tc>
      </w:tr>
    </w:tbl>
    <w:p>
      <w:pPr>
        <w:pStyle w:val="BodyText"/>
      </w:pPr>
      <w:r>
        <w:t xml:space="preserve">These look achievable on the surface, but the quarter’s interpretation will rest heavily on the</w:t>
      </w:r>
      <w:r>
        <w:t xml:space="preserve"> </w:t>
      </w:r>
      <w:r>
        <w:rPr>
          <w:b/>
          <w:bCs/>
        </w:rPr>
        <w:t xml:space="preserve">monthly cadence</w:t>
      </w:r>
      <w:r>
        <w:t xml:space="preserve">—particularly whether April was the low point—and on management’s confidence in the second half.</w:t>
      </w:r>
    </w:p>
    <w:bookmarkEnd w:id="10"/>
    <w:bookmarkStart w:id="14" w:name="why-2q-is-a-transition-quarter"/>
    <w:p>
      <w:pPr>
        <w:pStyle w:val="Heading2"/>
      </w:pPr>
      <w:r>
        <w:t xml:space="preserve">Why 2Q is a transition quarter</w:t>
      </w:r>
    </w:p>
    <w:bookmarkStart w:id="11" w:name="X8723953f6bf91df9c98bb814e01ac327885ad35"/>
    <w:p>
      <w:pPr>
        <w:pStyle w:val="Heading3"/>
      </w:pPr>
      <w:r>
        <w:t xml:space="preserve">1. April was expected to be unusually difficult</w:t>
      </w:r>
    </w:p>
    <w:p>
      <w:pPr>
        <w:pStyle w:val="FirstParagraph"/>
      </w:pPr>
      <w:r>
        <w:t xml:space="preserve">In 1Q, MCD generated</w:t>
      </w:r>
      <w:r>
        <w:t xml:space="preserve"> </w:t>
      </w:r>
      <w:r>
        <w:rPr>
          <w:b/>
          <w:bCs/>
        </w:rPr>
        <w:t xml:space="preserve">3.8% global comparable-sales growth</w:t>
      </w:r>
      <w:r>
        <w:t xml:space="preserve">, with each operating segment up roughly 3%–4%. However, management explicitly said it expected a</w:t>
      </w:r>
      <w:r>
        <w:t xml:space="preserve"> </w:t>
      </w:r>
      <w:r>
        <w:rPr>
          <w:b/>
          <w:bCs/>
        </w:rPr>
        <w:t xml:space="preserve">meaningful deceleration in 2Q</w:t>
      </w:r>
      <w:r>
        <w:t xml:space="preserve">, principally because April faced a very difficult comparison against the prior-year</w:t>
      </w:r>
      <w:r>
        <w:t xml:space="preserve"> </w:t>
      </w:r>
      <w:r>
        <w:rPr>
          <w:i/>
          <w:iCs/>
        </w:rPr>
        <w:t xml:space="preserve">Minecraft</w:t>
      </w:r>
      <w:r>
        <w:t xml:space="preserve"> </w:t>
      </w:r>
      <w:r>
        <w:t xml:space="preserve">campaign.</w:t>
      </w:r>
    </w:p>
    <w:p>
      <w:pPr>
        <w:pStyle w:val="BodyText"/>
      </w:pPr>
      <w:r>
        <w:t xml:space="preserve">That framing matters. A soft reported 2Q comp is not necessarily negative if:</w:t>
      </w:r>
    </w:p>
    <w:p>
      <w:pPr>
        <w:pStyle w:val="Compact"/>
        <w:numPr>
          <w:ilvl w:val="0"/>
          <w:numId w:val="1001"/>
        </w:numPr>
      </w:pPr>
      <w:r>
        <w:t xml:space="preserve">April carries the expected weakness;</w:t>
      </w:r>
    </w:p>
    <w:p>
      <w:pPr>
        <w:pStyle w:val="Compact"/>
        <w:numPr>
          <w:ilvl w:val="0"/>
          <w:numId w:val="1001"/>
        </w:numPr>
      </w:pPr>
      <w:r>
        <w:t xml:space="preserve">May and June show sequential stabilization or improvement;</w:t>
      </w:r>
    </w:p>
    <w:p>
      <w:pPr>
        <w:pStyle w:val="Compact"/>
        <w:numPr>
          <w:ilvl w:val="0"/>
          <w:numId w:val="1001"/>
        </w:numPr>
      </w:pPr>
      <w:r>
        <w:t xml:space="preserve">MCD continues to take share in key markets; and</w:t>
      </w:r>
    </w:p>
    <w:p>
      <w:pPr>
        <w:pStyle w:val="Compact"/>
        <w:numPr>
          <w:ilvl w:val="0"/>
          <w:numId w:val="1001"/>
        </w:numPr>
      </w:pPr>
      <w:r>
        <w:t xml:space="preserve">the two-year comp stack accelerates, as management previously indicated it expected.</w:t>
      </w:r>
    </w:p>
    <w:p>
      <w:pPr>
        <w:pStyle w:val="FirstParagraph"/>
      </w:pPr>
      <w:r>
        <w:t xml:space="preserve">A comp miss accompanied by evidence that weakness extended well beyond April, especially in the U.S., would be more concerning.</w:t>
      </w:r>
    </w:p>
    <w:bookmarkEnd w:id="11"/>
    <w:bookmarkStart w:id="12" w:name="X67bc78c61b8642b5721ff4b3e8e1c05f407b90c"/>
    <w:p>
      <w:pPr>
        <w:pStyle w:val="Heading3"/>
      </w:pPr>
      <w:r>
        <w:t xml:space="preserve">2. U.S. value is the key traffic test</w:t>
      </w:r>
    </w:p>
    <w:p>
      <w:pPr>
        <w:pStyle w:val="FirstParagraph"/>
      </w:pPr>
      <w:r>
        <w:t xml:space="preserve">MCD’s U.S. 1Q comp was</w:t>
      </w:r>
      <w:r>
        <w:t xml:space="preserve"> </w:t>
      </w:r>
      <w:r>
        <w:rPr>
          <w:b/>
          <w:bCs/>
        </w:rPr>
        <w:t xml:space="preserve">+3.9%</w:t>
      </w:r>
      <w:r>
        <w:t xml:space="preserve">, driven primarily by higher check. That is a favorable revenue outcome, but it puts greater emphasis on whether the revamped McValue architecture is producing enough</w:t>
      </w:r>
      <w:r>
        <w:t xml:space="preserve"> </w:t>
      </w:r>
      <w:r>
        <w:rPr>
          <w:b/>
          <w:bCs/>
        </w:rPr>
        <w:t xml:space="preserve">guest-count recovery</w:t>
      </w:r>
      <w:r>
        <w:t xml:space="preserve">.</w:t>
      </w:r>
    </w:p>
    <w:p>
      <w:pPr>
        <w:pStyle w:val="BodyText"/>
      </w:pPr>
      <w:r>
        <w:t xml:space="preserve">The company rolled out a broader value framework in mid-April:</w:t>
      </w:r>
    </w:p>
    <w:p>
      <w:pPr>
        <w:pStyle w:val="Compact"/>
        <w:numPr>
          <w:ilvl w:val="0"/>
          <w:numId w:val="1002"/>
        </w:numPr>
      </w:pPr>
      <w:r>
        <w:t xml:space="preserve">an everyday menu with items priced below $3;</w:t>
      </w:r>
    </w:p>
    <w:p>
      <w:pPr>
        <w:pStyle w:val="Compact"/>
        <w:numPr>
          <w:ilvl w:val="0"/>
          <w:numId w:val="1002"/>
        </w:numPr>
      </w:pPr>
      <w:r>
        <w:t xml:space="preserve">a $4 breakfast meal deal;</w:t>
      </w:r>
    </w:p>
    <w:p>
      <w:pPr>
        <w:pStyle w:val="Compact"/>
        <w:numPr>
          <w:ilvl w:val="0"/>
          <w:numId w:val="1002"/>
        </w:numPr>
      </w:pPr>
      <w:r>
        <w:t xml:space="preserve">continuing $5 McChicken and $6 McDouble meal deals; and</w:t>
      </w:r>
    </w:p>
    <w:p>
      <w:pPr>
        <w:pStyle w:val="Compact"/>
        <w:numPr>
          <w:ilvl w:val="0"/>
          <w:numId w:val="1002"/>
        </w:numPr>
      </w:pPr>
      <w:r>
        <w:t xml:space="preserve">Extra Value Meals, which management has characterized as an important traffic and share lever.</w:t>
      </w:r>
    </w:p>
    <w:p>
      <w:pPr>
        <w:pStyle w:val="FirstParagraph"/>
      </w:pPr>
      <w:r>
        <w:t xml:space="preserve">Investors should focus on whether management describes incremental transactions—particularly among lower-income consumers—or merely continued benefit from check and mix. McDonald’s has acknowledged that lower-income consumers remain pressured, while higher-income spending has held up better.</w:t>
      </w:r>
    </w:p>
    <w:bookmarkEnd w:id="12"/>
    <w:bookmarkStart w:id="13" w:name="X1d5f1b7d59270e4451f550d429138168a7b8101"/>
    <w:p>
      <w:pPr>
        <w:pStyle w:val="Heading3"/>
      </w:pPr>
      <w:r>
        <w:t xml:space="preserve">3. Marketing and beverages should provide a post-April offset</w:t>
      </w:r>
    </w:p>
    <w:p>
      <w:pPr>
        <w:pStyle w:val="FirstParagraph"/>
      </w:pPr>
      <w:r>
        <w:t xml:space="preserve">MCD’s 2Q calendar had several intended demand catalysts:</w:t>
      </w:r>
    </w:p>
    <w:p>
      <w:pPr>
        <w:pStyle w:val="Compact"/>
        <w:numPr>
          <w:ilvl w:val="0"/>
          <w:numId w:val="1003"/>
        </w:numPr>
      </w:pPr>
      <w:r>
        <w:t xml:space="preserve">the U.S. McValue refresh;</w:t>
      </w:r>
    </w:p>
    <w:p>
      <w:pPr>
        <w:pStyle w:val="Compact"/>
        <w:numPr>
          <w:ilvl w:val="0"/>
          <w:numId w:val="1003"/>
        </w:numPr>
      </w:pPr>
      <w:r>
        <w:t xml:space="preserve">the U.S. McCafé beverage platform, introduced in May;</w:t>
      </w:r>
    </w:p>
    <w:p>
      <w:pPr>
        <w:pStyle w:val="Compact"/>
        <w:numPr>
          <w:ilvl w:val="0"/>
          <w:numId w:val="1003"/>
        </w:numPr>
      </w:pPr>
      <w:r>
        <w:t xml:space="preserve">beverage launches in Canada and Germany;</w:t>
      </w:r>
    </w:p>
    <w:p>
      <w:pPr>
        <w:pStyle w:val="Compact"/>
        <w:numPr>
          <w:ilvl w:val="0"/>
          <w:numId w:val="1003"/>
        </w:numPr>
      </w:pPr>
      <w:r>
        <w:t xml:space="preserve">continued limited-time menu activity; and</w:t>
      </w:r>
    </w:p>
    <w:p>
      <w:pPr>
        <w:pStyle w:val="Compact"/>
        <w:numPr>
          <w:ilvl w:val="0"/>
          <w:numId w:val="1003"/>
        </w:numPr>
      </w:pPr>
      <w:r>
        <w:t xml:space="preserve">the FIFA/World Cup partnership during June.</w:t>
      </w:r>
    </w:p>
    <w:p>
      <w:pPr>
        <w:pStyle w:val="FirstParagraph"/>
      </w:pPr>
      <w:r>
        <w:t xml:space="preserve">The beverage initiative is strategically important beyond one quarter. It is a way to add occasions, improve mix, and create future menu-news cadence. Management’s early commentary on the U.S. launch was favorable, but investors will want more tangible color on transaction lift, attachment, operational execution, and the timing of the later Red Bull-infused energy-drink rollout.</w:t>
      </w:r>
    </w:p>
    <w:bookmarkEnd w:id="13"/>
    <w:bookmarkEnd w:id="14"/>
    <w:bookmarkStart w:id="15" w:name="X4d10bf070dea7f6a87f457acf10b475b682cfaa"/>
    <w:p>
      <w:pPr>
        <w:pStyle w:val="Heading2"/>
      </w:pPr>
      <w:r>
        <w:t xml:space="preserve">The earnings-quality issue: value versus margins</w:t>
      </w:r>
    </w:p>
    <w:p>
      <w:pPr>
        <w:pStyle w:val="FirstParagraph"/>
      </w:pPr>
      <w:r>
        <w:t xml:space="preserve">McDonald’s franchise-heavy model remains structurally attractive: about</w:t>
      </w:r>
      <w:r>
        <w:t xml:space="preserve"> </w:t>
      </w:r>
      <w:r>
        <w:rPr>
          <w:b/>
          <w:bCs/>
        </w:rPr>
        <w:t xml:space="preserve">95% of global restaurants were franchised</w:t>
      </w:r>
      <w:r>
        <w:t xml:space="preserve"> </w:t>
      </w:r>
      <w:r>
        <w:t xml:space="preserve">at the end of 1Q. In 1Q, franchised restaurant margins grew 10% reported, while company-operated margins were far less healthy.</w:t>
      </w:r>
    </w:p>
    <w:p>
      <w:pPr>
        <w:pStyle w:val="BodyText"/>
      </w:pPr>
      <w:r>
        <w:t xml:space="preserve">The principal pressure point was U.S. company-operated restaurants:</w:t>
      </w:r>
    </w:p>
    <w:p>
      <w:pPr>
        <w:pStyle w:val="Compact"/>
        <w:numPr>
          <w:ilvl w:val="0"/>
          <w:numId w:val="1004"/>
        </w:numPr>
      </w:pPr>
      <w:r>
        <w:t xml:space="preserve">U.S. company-operated restaurant margin fell</w:t>
      </w:r>
      <w:r>
        <w:t xml:space="preserve"> </w:t>
      </w:r>
      <w:r>
        <w:rPr>
          <w:b/>
          <w:bCs/>
        </w:rPr>
        <w:t xml:space="preserve">25%</w:t>
      </w:r>
      <w:r>
        <w:t xml:space="preserve"> </w:t>
      </w:r>
      <w:r>
        <w:t xml:space="preserve">year over year in 1Q, to</w:t>
      </w:r>
      <w:r>
        <w:t xml:space="preserve"> </w:t>
      </w:r>
      <w:r>
        <w:rPr>
          <w:b/>
          <w:bCs/>
        </w:rPr>
        <w:t xml:space="preserve">$59 million</w:t>
      </w:r>
      <w:r>
        <w:t xml:space="preserve">.</w:t>
      </w:r>
    </w:p>
    <w:p>
      <w:pPr>
        <w:pStyle w:val="Compact"/>
        <w:numPr>
          <w:ilvl w:val="0"/>
          <w:numId w:val="1004"/>
        </w:numPr>
      </w:pPr>
      <w:r>
        <w:t xml:space="preserve">Management attributed the problem to inflation, greater labor investment, and restrained pricing.</w:t>
      </w:r>
    </w:p>
    <w:p>
      <w:pPr>
        <w:pStyle w:val="Compact"/>
        <w:numPr>
          <w:ilvl w:val="0"/>
          <w:numId w:val="1004"/>
        </w:numPr>
      </w:pPr>
      <w:r>
        <w:t xml:space="preserve">Franchisee cash flows were described as under pressure in both the U.S. and international markets, particularly amid commodity inflation.</w:t>
      </w:r>
    </w:p>
    <w:p>
      <w:pPr>
        <w:pStyle w:val="FirstParagraph"/>
      </w:pPr>
      <w:r>
        <w:t xml:space="preserve">For 2Q, the key question is whether value-led traffic is translating into sufficient sales leverage to protect restaurant profitability. A favorable outcome would be:</w:t>
      </w:r>
    </w:p>
    <w:p>
      <w:pPr>
        <w:pStyle w:val="Compact"/>
        <w:numPr>
          <w:ilvl w:val="0"/>
          <w:numId w:val="1005"/>
        </w:numPr>
      </w:pPr>
      <w:r>
        <w:t xml:space="preserve">traffic and share gains,</w:t>
      </w:r>
    </w:p>
    <w:p>
      <w:pPr>
        <w:pStyle w:val="Compact"/>
        <w:numPr>
          <w:ilvl w:val="0"/>
          <w:numId w:val="1005"/>
        </w:numPr>
      </w:pPr>
      <w:r>
        <w:t xml:space="preserve">stable franchisee economics,</w:t>
      </w:r>
    </w:p>
    <w:p>
      <w:pPr>
        <w:pStyle w:val="Compact"/>
        <w:numPr>
          <w:ilvl w:val="0"/>
          <w:numId w:val="1005"/>
        </w:numPr>
      </w:pPr>
      <w:r>
        <w:t xml:space="preserve">recovering company-store margins, and</w:t>
      </w:r>
    </w:p>
    <w:p>
      <w:pPr>
        <w:pStyle w:val="Compact"/>
        <w:numPr>
          <w:ilvl w:val="0"/>
          <w:numId w:val="1005"/>
        </w:numPr>
      </w:pPr>
      <w:r>
        <w:t xml:space="preserve">no material deterioration in the full-year operating-margin outlook.</w:t>
      </w:r>
    </w:p>
    <w:p>
      <w:pPr>
        <w:pStyle w:val="FirstParagraph"/>
      </w:pPr>
      <w:r>
        <w:t xml:space="preserve">Conversely, strong sales paired with renewed margin or franchisee-profitability pressure would challenge the durability of the value strategy.</w:t>
      </w:r>
    </w:p>
    <w:bookmarkEnd w:id="15"/>
    <w:bookmarkStart w:id="16" w:name="X636df4a3bc73a0d604520e317dab78339743bf4"/>
    <w:p>
      <w:pPr>
        <w:pStyle w:val="Heading2"/>
      </w:pPr>
      <w:r>
        <w:t xml:space="preserve">International: more than a supporting character</w:t>
      </w:r>
    </w:p>
    <w:p>
      <w:pPr>
        <w:pStyle w:val="FirstParagraph"/>
      </w:pPr>
      <w:r>
        <w:t xml:space="preserve">International markets were a major contributor to 1Q strength. International Operated Markets posted</w:t>
      </w:r>
      <w:r>
        <w:t xml:space="preserve"> </w:t>
      </w:r>
      <w:r>
        <w:rPr>
          <w:b/>
          <w:bCs/>
        </w:rPr>
        <w:t xml:space="preserve">3.9%</w:t>
      </w:r>
      <w:r>
        <w:t xml:space="preserve"> </w:t>
      </w:r>
      <w:r>
        <w:t xml:space="preserve">comp growth, led by the U.K., Germany, and Australia, while International Developmental Licensed Markets rose</w:t>
      </w:r>
      <w:r>
        <w:t xml:space="preserve"> </w:t>
      </w:r>
      <w:r>
        <w:rPr>
          <w:b/>
          <w:bCs/>
        </w:rPr>
        <w:t xml:space="preserve">3.4%</w:t>
      </w:r>
      <w:r>
        <w:t xml:space="preserve">, led by Japan.</w:t>
      </w:r>
    </w:p>
    <w:p>
      <w:pPr>
        <w:pStyle w:val="BodyText"/>
      </w:pPr>
      <w:r>
        <w:t xml:space="preserve">Items to watch:</w:t>
      </w:r>
    </w:p>
    <w:p>
      <w:pPr>
        <w:pStyle w:val="Compact"/>
        <w:numPr>
          <w:ilvl w:val="0"/>
          <w:numId w:val="1006"/>
        </w:numPr>
      </w:pPr>
      <w:r>
        <w:rPr>
          <w:b/>
          <w:bCs/>
        </w:rPr>
        <w:t xml:space="preserve">U.K., Germany, and Australia:</w:t>
      </w:r>
      <w:r>
        <w:t xml:space="preserve"> </w:t>
      </w:r>
      <w:r>
        <w:t xml:space="preserve">Can these markets sustain share gains in a pressured consumer environment?</w:t>
      </w:r>
    </w:p>
    <w:p>
      <w:pPr>
        <w:pStyle w:val="Compact"/>
        <w:numPr>
          <w:ilvl w:val="0"/>
          <w:numId w:val="1006"/>
        </w:numPr>
      </w:pPr>
      <w:r>
        <w:rPr>
          <w:b/>
          <w:bCs/>
        </w:rPr>
        <w:t xml:space="preserve">France:</w:t>
      </w:r>
      <w:r>
        <w:t xml:space="preserve"> </w:t>
      </w:r>
      <w:r>
        <w:t xml:space="preserve">Management identified France as an underperformer and launched a revised value platform. Early results could be a useful proof point for the company’s ability to repair weaker markets.</w:t>
      </w:r>
    </w:p>
    <w:p>
      <w:pPr>
        <w:pStyle w:val="Compact"/>
        <w:numPr>
          <w:ilvl w:val="0"/>
          <w:numId w:val="1006"/>
        </w:numPr>
      </w:pPr>
      <w:r>
        <w:rPr>
          <w:b/>
          <w:bCs/>
        </w:rPr>
        <w:t xml:space="preserve">China:</w:t>
      </w:r>
      <w:r>
        <w:t xml:space="preserve"> </w:t>
      </w:r>
      <w:r>
        <w:t xml:space="preserve">MCD maintained share in 1Q and remains committed to heavy development, targeting about</w:t>
      </w:r>
      <w:r>
        <w:t xml:space="preserve"> </w:t>
      </w:r>
      <w:r>
        <w:rPr>
          <w:b/>
          <w:bCs/>
        </w:rPr>
        <w:t xml:space="preserve">1,000 China openings in 2026</w:t>
      </w:r>
      <w:r>
        <w:t xml:space="preserve">. Commentary on consumer demand and unit economics will matter.</w:t>
      </w:r>
    </w:p>
    <w:p>
      <w:pPr>
        <w:pStyle w:val="Compact"/>
        <w:numPr>
          <w:ilvl w:val="0"/>
          <w:numId w:val="1006"/>
        </w:numPr>
      </w:pPr>
      <w:r>
        <w:rPr>
          <w:b/>
          <w:bCs/>
        </w:rPr>
        <w:t xml:space="preserve">Middle East and broader geopolitical volatility:</w:t>
      </w:r>
      <w:r>
        <w:t xml:space="preserve"> </w:t>
      </w:r>
      <w:r>
        <w:t xml:space="preserve">Management previously said the direct 1Q financial impact was not material, but conditions remained volatile.</w:t>
      </w:r>
    </w:p>
    <w:p>
      <w:pPr>
        <w:pStyle w:val="FirstParagraph"/>
      </w:pPr>
      <w:r>
        <w:t xml:space="preserve">Currency is also relevant. In 1Q, foreign exchange added</w:t>
      </w:r>
      <w:r>
        <w:t xml:space="preserve"> </w:t>
      </w:r>
      <m:oMath>
        <m:r>
          <m:t>0.13</m:t>
        </m:r>
        <m:r>
          <m:t>t</m:t>
        </m:r>
        <m:r>
          <m:t>o</m:t>
        </m:r>
        <m:r>
          <m:t>E</m:t>
        </m:r>
        <m:r>
          <m:t>P</m:t>
        </m:r>
        <m:r>
          <m:t>S</m:t>
        </m:r>
        <m:r>
          <m:rPr>
            <m:sty m:val="p"/>
          </m:rPr>
          <m:t>*</m:t>
        </m:r>
        <m:r>
          <m:rPr>
            <m:sty m:val="p"/>
          </m:rPr>
          <m:t>*</m:t>
        </m:r>
        <m:r>
          <m:rPr>
            <m:sty m:val="p"/>
          </m:rPr>
          <m:t>,</m:t>
        </m:r>
        <m:r>
          <m:t>a</m:t>
        </m:r>
        <m:r>
          <m:t>n</m:t>
        </m:r>
        <m:r>
          <m:t>d</m:t>
        </m:r>
        <m:r>
          <m:t>m</m:t>
        </m:r>
        <m:r>
          <m:t>a</m:t>
        </m:r>
        <m:r>
          <m:t>n</m:t>
        </m:r>
        <m:r>
          <m:t>a</m:t>
        </m:r>
        <m:r>
          <m:t>g</m:t>
        </m:r>
        <m:r>
          <m:t>e</m:t>
        </m:r>
        <m:r>
          <m:t>m</m:t>
        </m:r>
        <m:r>
          <m:t>e</m:t>
        </m:r>
        <m:r>
          <m:t>n</m:t>
        </m:r>
        <m:r>
          <m:t>t</m:t>
        </m:r>
        <m:r>
          <m:rPr>
            <m:sty m:val="p"/>
          </m:rPr>
          <m:t>’</m:t>
        </m:r>
        <m:r>
          <m:t>s</m:t>
        </m:r>
        <m:r>
          <m:t>t</m:t>
        </m:r>
        <m:r>
          <m:t>h</m:t>
        </m:r>
        <m:r>
          <m:t>e</m:t>
        </m:r>
        <m:r>
          <m:t>n</m:t>
        </m:r>
        <m:r>
          <m:rPr>
            <m:sty m:val="p"/>
          </m:rPr>
          <m:t>−</m:t>
        </m:r>
        <m:r>
          <m:t>c</m:t>
        </m:r>
        <m:r>
          <m:t>u</m:t>
        </m:r>
        <m:r>
          <m:t>r</m:t>
        </m:r>
        <m:r>
          <m:t>r</m:t>
        </m:r>
        <m:r>
          <m:t>e</m:t>
        </m:r>
        <m:r>
          <m:t>n</m:t>
        </m:r>
        <m:r>
          <m:t>t</m:t>
        </m:r>
        <m:r>
          <m:t>e</m:t>
        </m:r>
        <m:r>
          <m:t>x</m:t>
        </m:r>
        <m:r>
          <m:t>p</m:t>
        </m:r>
        <m:r>
          <m:t>e</m:t>
        </m:r>
        <m:r>
          <m:t>c</m:t>
        </m:r>
        <m:r>
          <m:t>t</m:t>
        </m:r>
        <m:r>
          <m:t>a</m:t>
        </m:r>
        <m:r>
          <m:t>t</m:t>
        </m:r>
        <m:r>
          <m:t>i</m:t>
        </m:r>
        <m:r>
          <m:t>o</m:t>
        </m:r>
        <m:r>
          <m:t>n</m:t>
        </m:r>
        <m:r>
          <m:t>w</m:t>
        </m:r>
        <m:r>
          <m:t>a</m:t>
        </m:r>
        <m:r>
          <m:t>s</m:t>
        </m:r>
        <m:r>
          <m:t>f</m:t>
        </m:r>
        <m:r>
          <m:t>o</m:t>
        </m:r>
        <m:r>
          <m:t>r</m:t>
        </m:r>
        <m:r>
          <m:t>a</m:t>
        </m:r>
        <m:r>
          <m:rPr>
            <m:sty m:val="p"/>
          </m:rPr>
          <m:t>*</m:t>
        </m:r>
        <m:r>
          <m:rPr>
            <m:sty m:val="p"/>
          </m:rPr>
          <m:t>*</m:t>
        </m:r>
      </m:oMath>
      <w:r>
        <w:rPr>
          <w:b/>
          <w:bCs/>
        </w:rPr>
        <w:t xml:space="preserve">0.20–$0.30 full-year EPS tailwind</w:t>
      </w:r>
      <w:r>
        <w:t xml:space="preserve">. Investors should watch whether that outlook holds after recent currency moves.</w:t>
      </w:r>
    </w:p>
    <w:bookmarkEnd w:id="16"/>
    <w:bookmarkStart w:id="17" w:name="X413041fa3aa1c386abdcfcad30d5f167d6d26ba"/>
    <w:p>
      <w:pPr>
        <w:pStyle w:val="Heading2"/>
      </w:pPr>
      <w:r>
        <w:t xml:space="preserve">Guidance: likely more important than the quarter</w:t>
      </w:r>
    </w:p>
    <w:p>
      <w:pPr>
        <w:pStyle w:val="FirstParagraph"/>
      </w:pPr>
      <w:r>
        <w:t xml:space="preserve">At 1Q, management reaffirmed its 2026 framework:</w:t>
      </w:r>
    </w:p>
    <w:p>
      <w:pPr>
        <w:pStyle w:val="Compact"/>
        <w:numPr>
          <w:ilvl w:val="0"/>
          <w:numId w:val="1007"/>
        </w:numPr>
      </w:pPr>
      <w:r>
        <w:t xml:space="preserve">approximately</w:t>
      </w:r>
      <w:r>
        <w:t xml:space="preserve"> </w:t>
      </w:r>
      <w:r>
        <w:rPr>
          <w:b/>
          <w:bCs/>
        </w:rPr>
        <w:t xml:space="preserve">2.5%</w:t>
      </w:r>
      <w:r>
        <w:t xml:space="preserve"> </w:t>
      </w:r>
      <w:r>
        <w:t xml:space="preserve">contribution to systemwide-sales growth from net restaurant expansion;</w:t>
      </w:r>
    </w:p>
    <w:p>
      <w:pPr>
        <w:pStyle w:val="Compact"/>
        <w:numPr>
          <w:ilvl w:val="0"/>
          <w:numId w:val="1007"/>
        </w:numPr>
      </w:pPr>
      <w:r>
        <w:t xml:space="preserve">operating margin in the</w:t>
      </w:r>
      <w:r>
        <w:t xml:space="preserve"> </w:t>
      </w:r>
      <w:r>
        <w:rPr>
          <w:b/>
          <w:bCs/>
        </w:rPr>
        <w:t xml:space="preserve">mid-to-high 40%</w:t>
      </w:r>
      <w:r>
        <w:t xml:space="preserve"> </w:t>
      </w:r>
      <w:r>
        <w:t xml:space="preserve">range;</w:t>
      </w:r>
    </w:p>
    <w:p>
      <w:pPr>
        <w:pStyle w:val="Compact"/>
        <w:numPr>
          <w:ilvl w:val="0"/>
          <w:numId w:val="1007"/>
        </w:numPr>
      </w:pPr>
      <w:r>
        <w:t xml:space="preserve">SG&amp;A around</w:t>
      </w:r>
      <w:r>
        <w:t xml:space="preserve"> </w:t>
      </w:r>
      <w:r>
        <w:rPr>
          <w:b/>
          <w:bCs/>
        </w:rPr>
        <w:t xml:space="preserve">2.2% of systemwide sales</w:t>
      </w:r>
      <w:r>
        <w:t xml:space="preserve">;</w:t>
      </w:r>
    </w:p>
    <w:p>
      <w:pPr>
        <w:pStyle w:val="Compact"/>
        <w:numPr>
          <w:ilvl w:val="0"/>
          <w:numId w:val="1007"/>
        </w:numPr>
      </w:pPr>
      <w:r>
        <w:t xml:space="preserve">capex of</w:t>
      </w:r>
      <w:r>
        <w:t xml:space="preserve"> </w:t>
      </w:r>
      <m:oMath>
        <m:r>
          <m:t>3.7</m:t>
        </m:r>
        <m:r>
          <m:rPr>
            <m:sty m:val="p"/>
          </m:rPr>
          <m:t>–</m:t>
        </m:r>
      </m:oMath>
      <w:r>
        <w:rPr>
          <w:b/>
          <w:bCs/>
        </w:rPr>
        <w:t xml:space="preserve">3.9 billion</w:t>
      </w:r>
      <w:r>
        <w:t xml:space="preserve">;</w:t>
      </w:r>
    </w:p>
    <w:p>
      <w:pPr>
        <w:pStyle w:val="Compact"/>
        <w:numPr>
          <w:ilvl w:val="0"/>
          <w:numId w:val="1007"/>
        </w:numPr>
      </w:pPr>
      <w:r>
        <w:t xml:space="preserve">approximately</w:t>
      </w:r>
      <w:r>
        <w:t xml:space="preserve"> </w:t>
      </w:r>
      <w:r>
        <w:rPr>
          <w:b/>
          <w:bCs/>
        </w:rPr>
        <w:t xml:space="preserve">2,600 gross restaurant openings</w:t>
      </w:r>
      <w:r>
        <w:t xml:space="preserve"> </w:t>
      </w:r>
      <w:r>
        <w:t xml:space="preserve">and</w:t>
      </w:r>
      <w:r>
        <w:t xml:space="preserve"> </w:t>
      </w:r>
      <w:r>
        <w:rPr>
          <w:b/>
          <w:bCs/>
        </w:rPr>
        <w:t xml:space="preserve">2,100 net additions</w:t>
      </w:r>
      <w:r>
        <w:t xml:space="preserve">;</w:t>
      </w:r>
    </w:p>
    <w:p>
      <w:pPr>
        <w:pStyle w:val="Compact"/>
        <w:numPr>
          <w:ilvl w:val="0"/>
          <w:numId w:val="1007"/>
        </w:numPr>
      </w:pPr>
      <w:r>
        <w:t xml:space="preserve">free-cash-flow conversion in the</w:t>
      </w:r>
      <w:r>
        <w:t xml:space="preserve"> </w:t>
      </w:r>
      <w:r>
        <w:rPr>
          <w:b/>
          <w:bCs/>
        </w:rPr>
        <w:t xml:space="preserve">low-to-mid 80% range</w:t>
      </w:r>
      <w:r>
        <w:t xml:space="preserve">.</w:t>
      </w:r>
    </w:p>
    <w:p>
      <w:pPr>
        <w:pStyle w:val="FirstParagraph"/>
      </w:pPr>
      <w:r>
        <w:t xml:space="preserve">The most important potential guidance risks are:</w:t>
      </w:r>
    </w:p>
    <w:p>
      <w:pPr>
        <w:pStyle w:val="Compact"/>
        <w:numPr>
          <w:ilvl w:val="0"/>
          <w:numId w:val="1008"/>
        </w:numPr>
      </w:pPr>
      <w:r>
        <w:t xml:space="preserve">elevated beef, energy, labor, and construction costs;</w:t>
      </w:r>
    </w:p>
    <w:p>
      <w:pPr>
        <w:pStyle w:val="Compact"/>
        <w:numPr>
          <w:ilvl w:val="0"/>
          <w:numId w:val="1008"/>
        </w:numPr>
      </w:pPr>
      <w:r>
        <w:t xml:space="preserve">weaker lower-income consumer spending;</w:t>
      </w:r>
    </w:p>
    <w:p>
      <w:pPr>
        <w:pStyle w:val="Compact"/>
        <w:numPr>
          <w:ilvl w:val="0"/>
          <w:numId w:val="1008"/>
        </w:numPr>
      </w:pPr>
      <w:r>
        <w:t xml:space="preserve">pressure on franchisee cash flow;</w:t>
      </w:r>
    </w:p>
    <w:p>
      <w:pPr>
        <w:pStyle w:val="Compact"/>
        <w:numPr>
          <w:ilvl w:val="0"/>
          <w:numId w:val="1008"/>
        </w:numPr>
      </w:pPr>
      <w:r>
        <w:t xml:space="preserve">potential moderation in development or remodel activity if returns no longer clear investment thresholds; and</w:t>
      </w:r>
    </w:p>
    <w:p>
      <w:pPr>
        <w:pStyle w:val="Compact"/>
        <w:numPr>
          <w:ilvl w:val="0"/>
          <w:numId w:val="1008"/>
        </w:numPr>
      </w:pPr>
      <w:r>
        <w:t xml:space="preserve">a less favorable FX contribution.</w:t>
      </w:r>
    </w:p>
    <w:p>
      <w:pPr>
        <w:pStyle w:val="FirstParagraph"/>
      </w:pPr>
      <w:r>
        <w:t xml:space="preserve">Management has said it is reassessing development economics amid higher construction costs, while still expressing confidence in the longer-term objective of reaching roughly</w:t>
      </w:r>
      <w:r>
        <w:t xml:space="preserve"> </w:t>
      </w:r>
      <w:r>
        <w:rPr>
          <w:b/>
          <w:bCs/>
        </w:rPr>
        <w:t xml:space="preserve">50,000 restaurants by the end of 2027</w:t>
      </w:r>
      <w:r>
        <w:t xml:space="preserve">. Any change in the pace, mix, or returns profile of unit growth would be material.</w:t>
      </w:r>
    </w:p>
    <w:bookmarkEnd w:id="17"/>
    <w:bookmarkStart w:id="18" w:name="what-would-make-the-print-constructive"/>
    <w:p>
      <w:pPr>
        <w:pStyle w:val="Heading2"/>
      </w:pPr>
      <w:r>
        <w:t xml:space="preserve">What would make the print constructive</w:t>
      </w:r>
    </w:p>
    <w:p>
      <w:pPr>
        <w:pStyle w:val="FirstParagraph"/>
      </w:pPr>
      <w:r>
        <w:t xml:space="preserve">A constructive report would likely include:</w:t>
      </w:r>
    </w:p>
    <w:p>
      <w:pPr>
        <w:pStyle w:val="Compact"/>
        <w:numPr>
          <w:ilvl w:val="0"/>
          <w:numId w:val="1009"/>
        </w:numPr>
      </w:pPr>
      <w:r>
        <w:t xml:space="preserve">comps at or above the roughly</w:t>
      </w:r>
      <w:r>
        <w:t xml:space="preserve"> </w:t>
      </w:r>
      <w:r>
        <w:rPr>
          <w:b/>
          <w:bCs/>
        </w:rPr>
        <w:t xml:space="preserve">+1.4%</w:t>
      </w:r>
      <w:r>
        <w:t xml:space="preserve"> </w:t>
      </w:r>
      <w:r>
        <w:t xml:space="preserve">global expectation;</w:t>
      </w:r>
    </w:p>
    <w:p>
      <w:pPr>
        <w:pStyle w:val="Compact"/>
        <w:numPr>
          <w:ilvl w:val="0"/>
          <w:numId w:val="1009"/>
        </w:numPr>
      </w:pPr>
      <w:r>
        <w:t xml:space="preserve">evidence that April was the quarter’s trough, with better May/June trends;</w:t>
      </w:r>
    </w:p>
    <w:p>
      <w:pPr>
        <w:pStyle w:val="Compact"/>
        <w:numPr>
          <w:ilvl w:val="0"/>
          <w:numId w:val="1009"/>
        </w:numPr>
      </w:pPr>
      <w:r>
        <w:t xml:space="preserve">positive U.S. guest-count, value-perception, or market-share commentary;</w:t>
      </w:r>
    </w:p>
    <w:p>
      <w:pPr>
        <w:pStyle w:val="Compact"/>
        <w:numPr>
          <w:ilvl w:val="0"/>
          <w:numId w:val="1009"/>
        </w:numPr>
      </w:pPr>
      <w:r>
        <w:t xml:space="preserve">encouraging early beverage-platform results;</w:t>
      </w:r>
    </w:p>
    <w:p>
      <w:pPr>
        <w:pStyle w:val="Compact"/>
        <w:numPr>
          <w:ilvl w:val="0"/>
          <w:numId w:val="1009"/>
        </w:numPr>
      </w:pPr>
      <w:r>
        <w:t xml:space="preserve">continued international share gains;</w:t>
      </w:r>
    </w:p>
    <w:p>
      <w:pPr>
        <w:pStyle w:val="Compact"/>
        <w:numPr>
          <w:ilvl w:val="0"/>
          <w:numId w:val="1009"/>
        </w:numPr>
      </w:pPr>
      <w:r>
        <w:t xml:space="preserve">stabilization in U.S. company-operated margins;</w:t>
      </w:r>
    </w:p>
    <w:p>
      <w:pPr>
        <w:pStyle w:val="Compact"/>
        <w:numPr>
          <w:ilvl w:val="0"/>
          <w:numId w:val="1009"/>
        </w:numPr>
      </w:pPr>
      <w:r>
        <w:t xml:space="preserve">reaffirmed full-year margin, capex, unit-growth, and cash-flow targets; and</w:t>
      </w:r>
    </w:p>
    <w:p>
      <w:pPr>
        <w:pStyle w:val="Compact"/>
        <w:numPr>
          <w:ilvl w:val="0"/>
          <w:numId w:val="1009"/>
        </w:numPr>
      </w:pPr>
      <w:r>
        <w:t xml:space="preserve">confidence that value investment is not materially impairing franchisee returns.</w:t>
      </w:r>
    </w:p>
    <w:bookmarkEnd w:id="18"/>
    <w:bookmarkStart w:id="19" w:name="what-could-disappoint"/>
    <w:p>
      <w:pPr>
        <w:pStyle w:val="Heading2"/>
      </w:pPr>
      <w:r>
        <w:t xml:space="preserve">What could disappoint</w:t>
      </w:r>
    </w:p>
    <w:p>
      <w:pPr>
        <w:pStyle w:val="FirstParagraph"/>
      </w:pPr>
      <w:r>
        <w:t xml:space="preserve">The downside case is less about a small EPS miss and more about confirmation that demand and profitability are both worsening:</w:t>
      </w:r>
    </w:p>
    <w:p>
      <w:pPr>
        <w:pStyle w:val="Compact"/>
        <w:numPr>
          <w:ilvl w:val="0"/>
          <w:numId w:val="1010"/>
        </w:numPr>
      </w:pPr>
      <w:r>
        <w:t xml:space="preserve">U.S. comps below expectations with no evidence of post-April improvement;</w:t>
      </w:r>
    </w:p>
    <w:p>
      <w:pPr>
        <w:pStyle w:val="Compact"/>
        <w:numPr>
          <w:ilvl w:val="0"/>
          <w:numId w:val="1010"/>
        </w:numPr>
      </w:pPr>
      <w:r>
        <w:t xml:space="preserve">value-driven sales that are mostly check dilution rather than traffic incrementality;</w:t>
      </w:r>
    </w:p>
    <w:p>
      <w:pPr>
        <w:pStyle w:val="Compact"/>
        <w:numPr>
          <w:ilvl w:val="0"/>
          <w:numId w:val="1010"/>
        </w:numPr>
      </w:pPr>
      <w:r>
        <w:t xml:space="preserve">worsening franchisee profitability or renewed financial support requirements;</w:t>
      </w:r>
    </w:p>
    <w:p>
      <w:pPr>
        <w:pStyle w:val="Compact"/>
        <w:numPr>
          <w:ilvl w:val="0"/>
          <w:numId w:val="1010"/>
        </w:numPr>
      </w:pPr>
      <w:r>
        <w:t xml:space="preserve">further deterioration in U.S. company-operated margins;</w:t>
      </w:r>
    </w:p>
    <w:p>
      <w:pPr>
        <w:pStyle w:val="Compact"/>
        <w:numPr>
          <w:ilvl w:val="0"/>
          <w:numId w:val="1010"/>
        </w:numPr>
      </w:pPr>
      <w:r>
        <w:t xml:space="preserve">reduced development targets or more cautious return commentary;</w:t>
      </w:r>
    </w:p>
    <w:p>
      <w:pPr>
        <w:pStyle w:val="Compact"/>
        <w:numPr>
          <w:ilvl w:val="0"/>
          <w:numId w:val="1010"/>
        </w:numPr>
      </w:pPr>
      <w:r>
        <w:t xml:space="preserve">a cut to operating-margin, capex, or free-cash-flow expectations; or</w:t>
      </w:r>
    </w:p>
    <w:p>
      <w:pPr>
        <w:pStyle w:val="Compact"/>
        <w:numPr>
          <w:ilvl w:val="0"/>
          <w:numId w:val="1010"/>
        </w:numPr>
      </w:pPr>
      <w:r>
        <w:t xml:space="preserve">greater concern about commodity, energy, or geopolitical costs entering 2H.</w:t>
      </w:r>
    </w:p>
    <w:bookmarkEnd w:id="19"/>
    <w:bookmarkStart w:id="20" w:name="X55c2be4704e7a1a438e141f93fe1f2efbe8e28c"/>
    <w:p>
      <w:pPr>
        <w:pStyle w:val="Heading2"/>
      </w:pPr>
      <w:r>
        <w:t xml:space="preserve">Questions investors should listen for on the call</w:t>
      </w:r>
    </w:p>
    <w:p>
      <w:pPr>
        <w:pStyle w:val="Compact"/>
        <w:numPr>
          <w:ilvl w:val="0"/>
          <w:numId w:val="1011"/>
        </w:numPr>
      </w:pPr>
      <w:r>
        <w:rPr>
          <w:b/>
          <w:bCs/>
        </w:rPr>
        <w:t xml:space="preserve">What were U.S. traffic trends in May and June, versus April?</w:t>
      </w:r>
    </w:p>
    <w:p>
      <w:pPr>
        <w:pStyle w:val="Compact"/>
        <w:numPr>
          <w:ilvl w:val="0"/>
          <w:numId w:val="1011"/>
        </w:numPr>
      </w:pPr>
      <w:r>
        <w:rPr>
          <w:b/>
          <w:bCs/>
        </w:rPr>
        <w:t xml:space="preserve">Is the new McValue structure bringing lower-income consumers back, and at what margin cost?</w:t>
      </w:r>
    </w:p>
    <w:p>
      <w:pPr>
        <w:pStyle w:val="Compact"/>
        <w:numPr>
          <w:ilvl w:val="0"/>
          <w:numId w:val="1011"/>
        </w:numPr>
      </w:pPr>
      <w:r>
        <w:rPr>
          <w:b/>
          <w:bCs/>
        </w:rPr>
        <w:t xml:space="preserve">How is the beverage platform performing on transactions, ticket, attachment, and restaurant complexity?</w:t>
      </w:r>
    </w:p>
    <w:p>
      <w:pPr>
        <w:pStyle w:val="Compact"/>
        <w:numPr>
          <w:ilvl w:val="0"/>
          <w:numId w:val="1011"/>
        </w:numPr>
      </w:pPr>
      <w:r>
        <w:rPr>
          <w:b/>
          <w:bCs/>
        </w:rPr>
        <w:t xml:space="preserve">Are U.S. company-operated restaurant margins improving from 1Q levels?</w:t>
      </w:r>
    </w:p>
    <w:p>
      <w:pPr>
        <w:pStyle w:val="Compact"/>
        <w:numPr>
          <w:ilvl w:val="0"/>
          <w:numId w:val="1011"/>
        </w:numPr>
      </w:pPr>
      <w:r>
        <w:rPr>
          <w:b/>
          <w:bCs/>
        </w:rPr>
        <w:t xml:space="preserve">What does management see in franchisee cash flow after commodity and labor inflation?</w:t>
      </w:r>
    </w:p>
    <w:p>
      <w:pPr>
        <w:pStyle w:val="Compact"/>
        <w:numPr>
          <w:ilvl w:val="0"/>
          <w:numId w:val="1011"/>
        </w:numPr>
      </w:pPr>
      <w:r>
        <w:rPr>
          <w:b/>
          <w:bCs/>
        </w:rPr>
        <w:t xml:space="preserve">Are the full-year operating-margin and 2,100-net-unit-addition targets still intact?</w:t>
      </w:r>
    </w:p>
    <w:p>
      <w:pPr>
        <w:pStyle w:val="Compact"/>
        <w:numPr>
          <w:ilvl w:val="0"/>
          <w:numId w:val="1011"/>
        </w:numPr>
      </w:pPr>
      <w:r>
        <w:rPr>
          <w:b/>
          <w:bCs/>
        </w:rPr>
        <w:t xml:space="preserve">Has the FX outlook changed from the previously guided</w:t>
      </w:r>
      <w:r>
        <w:rPr>
          <w:b/>
          <w:bCs/>
        </w:rPr>
        <w:t xml:space="preserve"> </w:t>
      </w:r>
      <m:oMath>
        <m:r>
          <m:t>0.20</m:t>
        </m:r>
        <m:r>
          <m:rPr>
            <m:sty m:val="p"/>
          </m:rPr>
          <m:t>–</m:t>
        </m:r>
      </m:oMath>
      <w:r>
        <w:rPr>
          <w:b/>
          <w:bCs/>
        </w:rPr>
        <w:t xml:space="preserve">0.30 full-year EPS benefit?</w:t>
      </w:r>
    </w:p>
    <w:p>
      <w:pPr>
        <w:pStyle w:val="Compact"/>
        <w:numPr>
          <w:ilvl w:val="0"/>
          <w:numId w:val="1011"/>
        </w:numPr>
      </w:pPr>
      <w:r>
        <w:rPr>
          <w:b/>
          <w:bCs/>
        </w:rPr>
        <w:t xml:space="preserve">What is the early read on France’s value reset and on China’s consumer backdrop?</w:t>
      </w:r>
    </w:p>
    <w:bookmarkEnd w:id="20"/>
    <w:bookmarkStart w:id="21" w:name="investment-framing"/>
    <w:p>
      <w:pPr>
        <w:pStyle w:val="Heading2"/>
      </w:pPr>
      <w:r>
        <w:t xml:space="preserve">Investment framing</w:t>
      </w:r>
    </w:p>
    <w:p>
      <w:pPr>
        <w:pStyle w:val="FirstParagraph"/>
      </w:pPr>
      <w:r>
        <w:t xml:space="preserve">MCD remains a high-quality, franchise-led global platform with unusually resilient margins, meaningful real-estate economics, and a credible long-run development runway. But 2Q is likely to test whether the company can make its value proposition more compelling without shifting too much economic burden onto restaurant operators.</w:t>
      </w:r>
    </w:p>
    <w:p>
      <w:pPr>
        <w:pStyle w:val="BodyText"/>
      </w:pPr>
      <w:r>
        <w:rPr>
          <w:b/>
          <w:bCs/>
        </w:rPr>
        <w:t xml:space="preserve">The cleanest bullish outcome:</w:t>
      </w:r>
      <w:r>
        <w:t xml:space="preserve"> </w:t>
      </w:r>
      <w:r>
        <w:t xml:space="preserve">modest reported comp growth, clear sequential improvement after April, sustained share gains, and no change to 2026 targets.</w:t>
      </w:r>
    </w:p>
    <w:p>
      <w:pPr>
        <w:pStyle w:val="BodyText"/>
      </w:pPr>
      <w:r>
        <w:rPr>
          <w:b/>
          <w:bCs/>
        </w:rPr>
        <w:t xml:space="preserve">The key bear signal:</w:t>
      </w:r>
      <w:r>
        <w:t xml:space="preserve"> </w:t>
      </w:r>
      <w:r>
        <w:t xml:space="preserve">weak U.S. traffic coupled with higher support needs, deteriorating unit economics, or a more cautious outlook for margins and development.</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2026-08-04T00:44:35Z</dcterms:created>
  <dcterms:modified xsi:type="dcterms:W3CDTF">2026-08-04T00:44:35Z</dcterms:modified>
</cp:coreProperties>
</file>

<file path=docProps/custom.xml><?xml version="1.0" encoding="utf-8"?>
<Properties xmlns="http://schemas.openxmlformats.org/officeDocument/2006/custom-properties" xmlns:vt="http://schemas.openxmlformats.org/officeDocument/2006/docPropsVTypes"/>
</file>