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McDonald's Corporation (MCD)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McDonald's Corporation</w:t>
            </w:r>
          </w:p>
        </w:tc>
      </w:tr>
      <w:tr>
        <w:tc>
          <w:tcPr>
            <w:tcW w:type="dxa" w:w="4320"/>
          </w:tcPr>
          <w:p>
            <w:r>
              <w:rPr>
                <w:rFonts w:ascii="Calibri" w:hAnsi="Calibri"/>
                <w:b/>
                <w:sz w:val="22"/>
              </w:rPr>
              <w:t>Ticker</w:t>
            </w:r>
          </w:p>
        </w:tc>
        <w:tc>
          <w:tcPr>
            <w:tcW w:type="dxa" w:w="4320"/>
          </w:tcPr>
          <w:p>
            <w:r>
              <w:rPr>
                <w:rFonts w:ascii="Calibri" w:hAnsi="Calibri"/>
                <w:sz w:val="22"/>
              </w:rPr>
              <w:t>MCD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Expected Earnings Date</w:t>
            </w:r>
          </w:p>
        </w:tc>
        <w:tc>
          <w:tcPr>
            <w:tcW w:type="dxa" w:w="4320"/>
          </w:tcPr>
          <w:p>
            <w:r>
              <w:rPr>
                <w:rFonts w:ascii="Calibri" w:hAnsi="Calibri"/>
                <w:sz w:val="22"/>
              </w:rPr>
              <w:t>TBD — expected late July / early August 2026</w:t>
            </w:r>
          </w:p>
        </w:tc>
      </w:tr>
      <w:tr>
        <w:tc>
          <w:tcPr>
            <w:tcW w:type="dxa" w:w="4320"/>
          </w:tcPr>
          <w:p>
            <w:r>
              <w:rPr>
                <w:rFonts w:ascii="Calibri" w:hAnsi="Calibri"/>
                <w:b/>
                <w:sz w:val="22"/>
              </w:rPr>
              <w:t>Last Earnings Date</w:t>
            </w:r>
          </w:p>
        </w:tc>
        <w:tc>
          <w:tcPr>
            <w:tcW w:type="dxa" w:w="4320"/>
          </w:tcPr>
          <w:p>
            <w:r>
              <w:rPr>
                <w:rFonts w:ascii="Calibri" w:hAnsi="Calibri"/>
                <w:sz w:val="22"/>
              </w:rPr>
              <w:t>May 7, 2026 (Q1 2026)</w:t>
            </w:r>
          </w:p>
        </w:tc>
      </w:tr>
      <w:tr>
        <w:tc>
          <w:tcPr>
            <w:tcW w:type="dxa" w:w="4320"/>
          </w:tcPr>
          <w:p>
            <w:r>
              <w:rPr>
                <w:rFonts w:ascii="Calibri" w:hAnsi="Calibri"/>
                <w:b/>
                <w:sz w:val="22"/>
              </w:rPr>
              <w:t>Prepared Date</w:t>
            </w:r>
          </w:p>
        </w:tc>
        <w:tc>
          <w:tcPr>
            <w:tcW w:type="dxa" w:w="4320"/>
          </w:tcPr>
          <w:p>
            <w:r>
              <w:rPr>
                <w:rFonts w:ascii="Calibri" w:hAnsi="Calibri"/>
                <w:sz w:val="22"/>
              </w:rPr>
              <w:t>August 3,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a low bar with meaningful deceleration already guided by management, but the real swing factor is whether the McValue 2.0 platform and national beverage launch can re-accelerate U.S. comparable sales faster than the street expects on a two-year stack basis.</w:t>
      </w:r>
    </w:p>
    <w:p>
      <w:r>
        <w:rPr>
          <w:rFonts w:ascii="Calibri" w:hAnsi="Calibri"/>
          <w:color w:val="525866"/>
          <w:sz w:val="22"/>
        </w:rPr>
        <w:t xml:space="preserve">Heading into Q2 2026, the bar for McDonald's is intentionally low: management explicitly guided for </w:t>
      </w:r>
      <w:r>
        <w:rPr>
          <w:rFonts w:ascii="Calibri" w:hAnsi="Calibri"/>
          <w:b/>
          <w:color w:val="525866"/>
          <w:sz w:val="22"/>
        </w:rPr>
        <w:t>meaningful deceleration</w:t>
      </w:r>
      <w:r>
        <w:rPr>
          <w:rFonts w:ascii="Calibri" w:hAnsi="Calibri"/>
          <w:color w:val="525866"/>
          <w:sz w:val="22"/>
        </w:rPr>
        <w:t xml:space="preserve"> in comparable sales from Q1's 3.9% in both the U.S. and IOM segments, citing a difficult April lap from the highly successful Minecraft promotion. Consensus reflects this, with U.S. comp estimates at approximately +0.76% and IOM at +1.47% — both well below Q1 actuals — while the two-year stack is expected to accelerate, which is the metric management has anchored investor expectations to. Management's tone on the Q1 call was cautiously constructive: the macro environment is "</w:t>
      </w:r>
      <w:r>
        <w:rPr>
          <w:rFonts w:ascii="Calibri" w:hAnsi="Calibri"/>
          <w:b/>
          <w:color w:val="525866"/>
          <w:sz w:val="22"/>
        </w:rPr>
        <w:t>not improving and may be getting a little bit worse</w:t>
      </w:r>
      <w:r>
        <w:rPr>
          <w:rFonts w:ascii="Calibri" w:hAnsi="Calibri"/>
          <w:color w:val="525866"/>
          <w:sz w:val="22"/>
        </w:rPr>
        <w:t xml:space="preserve">" (CEO Kempczinski), low-income traffic continues to decline, and elevated gas prices remain a headwind, yet higher-income consumers are resilient and McDonald's is gaining share across cohorts. Estimate revisions since the Q1 print have been modest and directionally in line with guidance, suggesting the street has largely digested the deceleration signal without a meaningful cushion or risk gap. The stock has underperformed peers since Q1 earnings, down ~6.5% vs. flat-to-slightly-down for QSR and YUM, weighed by multiple analyst price target cuts (Citi, Morgan Stanley, Barclays, UBS, Mizuho) and a new 52-week low in mid-July, suggesting the market has already priced in a soft print. The key wildcard is the </w:t>
      </w:r>
      <w:r>
        <w:rPr>
          <w:rFonts w:ascii="Calibri" w:hAnsi="Calibri"/>
          <w:b/>
          <w:color w:val="525866"/>
          <w:sz w:val="22"/>
        </w:rPr>
        <w:t>Taco Bell / Cyclospora food safety industry issue</w:t>
      </w:r>
      <w:r>
        <w:rPr>
          <w:rFonts w:ascii="Calibri" w:hAnsi="Calibri"/>
          <w:color w:val="525866"/>
          <w:sz w:val="22"/>
        </w:rPr>
        <w:t xml:space="preserve"> that emerged in mid-July — while MCD is not implicated, broad QSR traffic softness from heightened consumer caution (flagged by both YUM and CMG in their Q2 calls) could weigh on MCD's late-quarter U.S. comp, creating a modest incremental headwind not yet fully reflected in consensus.</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reflects a deliberately low bar with U.S. comp at ~+0.76% and Operating EPS at $3.32 — both well below Q1 actuals — making a beat achievable if the McValue 2.0 platform and beverage launch drive better-than-feared traffic. </w:t>
      </w:r>
      <w:r>
        <w:rPr>
          <w:rFonts w:ascii="Calibri" w:hAnsi="Calibri"/>
          <w:b/>
          <w:color w:val="525866"/>
          <w:sz w:val="22"/>
        </w:rPr>
        <w:t>U.S. company-operated restaurant margin is the bigger swing factor</w:t>
      </w:r>
      <w:r>
        <w:rPr>
          <w:rFonts w:ascii="Calibri" w:hAnsi="Calibri"/>
          <w:color w:val="525866"/>
          <w:sz w:val="22"/>
        </w:rPr>
        <w:t>, given management's explicit "not acceptable" flag in Q1.</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(vs. Q2 2025)</w:t>
            </w:r>
          </w:p>
        </w:tc>
        <w:tc>
          <w:tcPr>
            <w:tcW w:type="dxa" w:w="1234"/>
            <w:shd w:val="clear" w:color="auto" w:fill="3B4259"/>
          </w:tcPr>
          <w:p>
            <w:r>
              <w:rPr>
                <w:rFonts w:ascii="Calibri" w:hAnsi="Calibri"/>
                <w:b/>
                <w:color w:val="FFFFFF"/>
                <w:sz w:val="22"/>
              </w:rPr>
              <w:t>Guidance (Q1 Call)</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Revenues ($B)</w:t>
            </w:r>
          </w:p>
        </w:tc>
        <w:tc>
          <w:tcPr>
            <w:tcW w:type="dxa" w:w="1234"/>
          </w:tcPr>
          <w:p>
            <w:r>
              <w:rPr>
                <w:rFonts w:ascii="Calibri" w:hAnsi="Calibri"/>
                <w:sz w:val="22"/>
              </w:rPr>
              <w:t>$6.52B</w:t>
            </w:r>
          </w:p>
        </w:tc>
        <w:tc>
          <w:tcPr>
            <w:tcW w:type="dxa" w:w="1234"/>
          </w:tcPr>
          <w:p>
            <w:r>
              <w:rPr>
                <w:rFonts w:ascii="Calibri" w:hAnsi="Calibri"/>
                <w:sz w:val="22"/>
              </w:rPr>
              <w:t>$6.84B</w:t>
            </w:r>
          </w:p>
        </w:tc>
        <w:tc>
          <w:tcPr>
            <w:tcW w:type="dxa" w:w="1234"/>
          </w:tcPr>
          <w:p>
            <w:r>
              <w:rPr>
                <w:rFonts w:ascii="Calibri" w:hAnsi="Calibri"/>
                <w:sz w:val="22"/>
              </w:rPr>
              <w:t>$7.13B</w:t>
            </w:r>
          </w:p>
        </w:tc>
        <w:tc>
          <w:tcPr>
            <w:tcW w:type="dxa" w:w="1234"/>
          </w:tcPr>
          <w:p>
            <w:r>
              <w:rPr>
                <w:rFonts w:ascii="Calibri" w:hAnsi="Calibri"/>
                <w:sz w:val="22"/>
              </w:rPr>
              <w:t>+4.2%</w:t>
            </w:r>
          </w:p>
        </w:tc>
        <w:tc>
          <w:tcPr>
            <w:tcW w:type="dxa" w:w="1234"/>
          </w:tcPr>
          <w:p>
            <w:r>
              <w:rPr>
                <w:rFonts w:ascii="Calibri" w:hAnsi="Calibri"/>
                <w:sz w:val="22"/>
              </w:rPr>
              <w:t>FY reaffirmed; Q2 no specific guidance</w:t>
            </w:r>
          </w:p>
        </w:tc>
        <w:tc>
          <w:tcPr>
            <w:tcW w:type="dxa" w:w="1234"/>
          </w:tcPr>
          <w:p>
            <w:r>
              <w:rPr>
                <w:rFonts w:ascii="Calibri" w:hAnsi="Calibri"/>
                <w:sz w:val="22"/>
              </w:rPr>
              <w:t>N/A (no Q2 revenue guidance)</w:t>
            </w:r>
          </w:p>
        </w:tc>
      </w:tr>
      <w:tr>
        <w:tc>
          <w:tcPr>
            <w:tcW w:type="dxa" w:w="1234"/>
          </w:tcPr>
          <w:p>
            <w:r>
              <w:rPr>
                <w:rFonts w:ascii="Calibri" w:hAnsi="Calibri"/>
                <w:sz w:val="22"/>
              </w:rPr>
              <w:t>Operating EPS ($)</w:t>
            </w:r>
          </w:p>
        </w:tc>
        <w:tc>
          <w:tcPr>
            <w:tcW w:type="dxa" w:w="1234"/>
          </w:tcPr>
          <w:p>
            <w:r>
              <w:rPr>
                <w:rFonts w:ascii="Calibri" w:hAnsi="Calibri"/>
                <w:sz w:val="22"/>
              </w:rPr>
              <w:t>$2.83</w:t>
            </w:r>
          </w:p>
        </w:tc>
        <w:tc>
          <w:tcPr>
            <w:tcW w:type="dxa" w:w="1234"/>
          </w:tcPr>
          <w:p>
            <w:r>
              <w:rPr>
                <w:rFonts w:ascii="Calibri" w:hAnsi="Calibri"/>
                <w:sz w:val="22"/>
              </w:rPr>
              <w:t>$3.19</w:t>
            </w:r>
          </w:p>
        </w:tc>
        <w:tc>
          <w:tcPr>
            <w:tcW w:type="dxa" w:w="1234"/>
          </w:tcPr>
          <w:p>
            <w:r>
              <w:rPr>
                <w:rFonts w:ascii="Calibri" w:hAnsi="Calibri"/>
                <w:sz w:val="22"/>
              </w:rPr>
              <w:t>$3.32</w:t>
            </w:r>
          </w:p>
        </w:tc>
        <w:tc>
          <w:tcPr>
            <w:tcW w:type="dxa" w:w="1234"/>
          </w:tcPr>
          <w:p>
            <w:r>
              <w:rPr>
                <w:rFonts w:ascii="Calibri" w:hAnsi="Calibri"/>
                <w:sz w:val="22"/>
              </w:rPr>
              <w:t>+4.1%</w:t>
            </w:r>
          </w:p>
        </w:tc>
        <w:tc>
          <w:tcPr>
            <w:tcW w:type="dxa" w:w="1234"/>
          </w:tcPr>
          <w:p>
            <w:r>
              <w:rPr>
                <w:rFonts w:ascii="Calibri" w:hAnsi="Calibri"/>
                <w:sz w:val="22"/>
              </w:rPr>
              <w:t>FY tailwind of $0.20–$0.30 from FX; no Q2 EPS guidance</w:t>
            </w:r>
          </w:p>
        </w:tc>
        <w:tc>
          <w:tcPr>
            <w:tcW w:type="dxa" w:w="1234"/>
          </w:tcPr>
          <w:p>
            <w:r>
              <w:rPr>
                <w:rFonts w:ascii="Calibri" w:hAnsi="Calibri"/>
                <w:sz w:val="22"/>
              </w:rPr>
              <w:t>N/A (no Q2 EPS guidance)</w:t>
            </w:r>
          </w:p>
        </w:tc>
      </w:tr>
      <w:tr>
        <w:tc>
          <w:tcPr>
            <w:tcW w:type="dxa" w:w="1234"/>
          </w:tcPr>
          <w:p>
            <w:r>
              <w:rPr>
                <w:rFonts w:ascii="Calibri" w:hAnsi="Calibri"/>
                <w:sz w:val="22"/>
              </w:rPr>
              <w:t>Comparable Sales — U.S. (%)</w:t>
            </w:r>
          </w:p>
        </w:tc>
        <w:tc>
          <w:tcPr>
            <w:tcW w:type="dxa" w:w="1234"/>
          </w:tcPr>
          <w:p>
            <w:r>
              <w:rPr>
                <w:rFonts w:ascii="Calibri" w:hAnsi="Calibri"/>
                <w:sz w:val="22"/>
              </w:rPr>
              <w:t>+3.9%</w:t>
            </w:r>
          </w:p>
        </w:tc>
        <w:tc>
          <w:tcPr>
            <w:tcW w:type="dxa" w:w="1234"/>
          </w:tcPr>
          <w:p>
            <w:r>
              <w:rPr>
                <w:rFonts w:ascii="Calibri" w:hAnsi="Calibri"/>
                <w:sz w:val="22"/>
              </w:rPr>
              <w:t>+2.5%</w:t>
            </w:r>
          </w:p>
        </w:tc>
        <w:tc>
          <w:tcPr>
            <w:tcW w:type="dxa" w:w="1234"/>
          </w:tcPr>
          <w:p>
            <w:r>
              <w:rPr>
                <w:rFonts w:ascii="Calibri" w:hAnsi="Calibri"/>
                <w:sz w:val="22"/>
              </w:rPr>
              <w:t>+0.76%</w:t>
            </w:r>
          </w:p>
        </w:tc>
        <w:tc>
          <w:tcPr>
            <w:tcW w:type="dxa" w:w="1234"/>
          </w:tcPr>
          <w:p>
            <w:r>
              <w:rPr>
                <w:rFonts w:ascii="Calibri" w:hAnsi="Calibri"/>
                <w:sz w:val="22"/>
              </w:rPr>
              <w:t>−71 bps</w:t>
            </w:r>
          </w:p>
        </w:tc>
        <w:tc>
          <w:tcPr>
            <w:tcW w:type="dxa" w:w="1234"/>
          </w:tcPr>
          <w:p>
            <w:r>
              <w:rPr>
                <w:rFonts w:ascii="Calibri" w:hAnsi="Calibri"/>
                <w:sz w:val="22"/>
              </w:rPr>
              <w:t>Meaningful deceleration from Q1; slightly negative in April; expects acceleration on 2-yr stack</w:t>
            </w:r>
          </w:p>
        </w:tc>
        <w:tc>
          <w:tcPr>
            <w:tcW w:type="dxa" w:w="1234"/>
          </w:tcPr>
          <w:p>
            <w:r>
              <w:rPr>
                <w:rFonts w:ascii="Calibri" w:hAnsi="Calibri"/>
                <w:sz w:val="22"/>
              </w:rPr>
              <w:t>In line with guidance</w:t>
            </w:r>
          </w:p>
        </w:tc>
      </w:tr>
      <w:tr>
        <w:tc>
          <w:tcPr>
            <w:tcW w:type="dxa" w:w="1234"/>
          </w:tcPr>
          <w:p>
            <w:r>
              <w:rPr>
                <w:rFonts w:ascii="Calibri" w:hAnsi="Calibri"/>
                <w:sz w:val="22"/>
              </w:rPr>
              <w:t>Comparable Sales — IOM (%)</w:t>
            </w:r>
          </w:p>
        </w:tc>
        <w:tc>
          <w:tcPr>
            <w:tcW w:type="dxa" w:w="1234"/>
          </w:tcPr>
          <w:p>
            <w:r>
              <w:rPr>
                <w:rFonts w:ascii="Calibri" w:hAnsi="Calibri"/>
                <w:sz w:val="22"/>
              </w:rPr>
              <w:t>+3.9%</w:t>
            </w:r>
          </w:p>
        </w:tc>
        <w:tc>
          <w:tcPr>
            <w:tcW w:type="dxa" w:w="1234"/>
          </w:tcPr>
          <w:p>
            <w:r>
              <w:rPr>
                <w:rFonts w:ascii="Calibri" w:hAnsi="Calibri"/>
                <w:sz w:val="22"/>
              </w:rPr>
              <w:t>+4.0%</w:t>
            </w:r>
          </w:p>
        </w:tc>
        <w:tc>
          <w:tcPr>
            <w:tcW w:type="dxa" w:w="1234"/>
          </w:tcPr>
          <w:p>
            <w:r>
              <w:rPr>
                <w:rFonts w:ascii="Calibri" w:hAnsi="Calibri"/>
                <w:sz w:val="22"/>
              </w:rPr>
              <w:t>+1.47%</w:t>
            </w:r>
          </w:p>
        </w:tc>
        <w:tc>
          <w:tcPr>
            <w:tcW w:type="dxa" w:w="1234"/>
          </w:tcPr>
          <w:p>
            <w:r>
              <w:rPr>
                <w:rFonts w:ascii="Calibri" w:hAnsi="Calibri"/>
                <w:sz w:val="22"/>
              </w:rPr>
              <w:t>−253 bps</w:t>
            </w:r>
          </w:p>
        </w:tc>
        <w:tc>
          <w:tcPr>
            <w:tcW w:type="dxa" w:w="1234"/>
          </w:tcPr>
          <w:p>
            <w:r>
              <w:rPr>
                <w:rFonts w:ascii="Calibri" w:hAnsi="Calibri"/>
                <w:sz w:val="22"/>
              </w:rPr>
              <w:t>Meaningful deceleration from Q1; slightly negative in April; expects acceleration on 2-yr stack</w:t>
            </w:r>
          </w:p>
        </w:tc>
        <w:tc>
          <w:tcPr>
            <w:tcW w:type="dxa" w:w="1234"/>
          </w:tcPr>
          <w:p>
            <w:r>
              <w:rPr>
                <w:rFonts w:ascii="Calibri" w:hAnsi="Calibri"/>
                <w:sz w:val="22"/>
              </w:rPr>
              <w:t>In line with guidance</w:t>
            </w:r>
          </w:p>
        </w:tc>
      </w:tr>
      <w:tr>
        <w:tc>
          <w:tcPr>
            <w:tcW w:type="dxa" w:w="1234"/>
          </w:tcPr>
          <w:p>
            <w:r>
              <w:rPr>
                <w:rFonts w:ascii="Calibri" w:hAnsi="Calibri"/>
                <w:sz w:val="22"/>
              </w:rPr>
              <w:t>Comparable Sales — IDL (%)</w:t>
            </w:r>
          </w:p>
        </w:tc>
        <w:tc>
          <w:tcPr>
            <w:tcW w:type="dxa" w:w="1234"/>
          </w:tcPr>
          <w:p>
            <w:r>
              <w:rPr>
                <w:rFonts w:ascii="Calibri" w:hAnsi="Calibri"/>
                <w:sz w:val="22"/>
              </w:rPr>
              <w:t>+3.4%</w:t>
            </w:r>
          </w:p>
        </w:tc>
        <w:tc>
          <w:tcPr>
            <w:tcW w:type="dxa" w:w="1234"/>
          </w:tcPr>
          <w:p>
            <w:r>
              <w:rPr>
                <w:rFonts w:ascii="Calibri" w:hAnsi="Calibri"/>
                <w:sz w:val="22"/>
              </w:rPr>
              <w:t>+5.6%</w:t>
            </w:r>
          </w:p>
        </w:tc>
        <w:tc>
          <w:tcPr>
            <w:tcW w:type="dxa" w:w="1234"/>
          </w:tcPr>
          <w:p>
            <w:r>
              <w:rPr>
                <w:rFonts w:ascii="Calibri" w:hAnsi="Calibri"/>
                <w:sz w:val="22"/>
              </w:rPr>
              <w:t>+1.82%</w:t>
            </w:r>
          </w:p>
        </w:tc>
        <w:tc>
          <w:tcPr>
            <w:tcW w:type="dxa" w:w="1234"/>
          </w:tcPr>
          <w:p>
            <w:r>
              <w:rPr>
                <w:rFonts w:ascii="Calibri" w:hAnsi="Calibri"/>
                <w:sz w:val="22"/>
              </w:rPr>
              <w:t>−378 bps</w:t>
            </w:r>
          </w:p>
        </w:tc>
        <w:tc>
          <w:tcPr>
            <w:tcW w:type="dxa" w:w="1234"/>
          </w:tcPr>
          <w:p>
            <w:r>
              <w:rPr>
                <w:rFonts w:ascii="Calibri" w:hAnsi="Calibri"/>
                <w:sz w:val="22"/>
              </w:rPr>
              <w:t>Deceleration from Q1; Middle East volatility and Asia headwinds; slight acceleration on 2-yr stack</w:t>
            </w:r>
          </w:p>
        </w:tc>
        <w:tc>
          <w:tcPr>
            <w:tcW w:type="dxa" w:w="1234"/>
          </w:tcPr>
          <w:p>
            <w:r>
              <w:rPr>
                <w:rFonts w:ascii="Calibri" w:hAnsi="Calibri"/>
                <w:sz w:val="22"/>
              </w:rPr>
              <w:t>In line with guidance</w:t>
            </w:r>
          </w:p>
        </w:tc>
      </w:tr>
      <w:tr>
        <w:tc>
          <w:tcPr>
            <w:tcW w:type="dxa" w:w="1234"/>
          </w:tcPr>
          <w:p>
            <w:r>
              <w:rPr>
                <w:rFonts w:ascii="Calibri" w:hAnsi="Calibri"/>
                <w:sz w:val="22"/>
              </w:rPr>
              <w:t>System-Wide Sales ($B)</w:t>
            </w:r>
          </w:p>
        </w:tc>
        <w:tc>
          <w:tcPr>
            <w:tcW w:type="dxa" w:w="1234"/>
          </w:tcPr>
          <w:p>
            <w:r>
              <w:rPr>
                <w:rFonts w:ascii="Calibri" w:hAnsi="Calibri"/>
                <w:sz w:val="22"/>
              </w:rPr>
              <w:t>$34.2B</w:t>
            </w:r>
          </w:p>
        </w:tc>
        <w:tc>
          <w:tcPr>
            <w:tcW w:type="dxa" w:w="1234"/>
          </w:tcPr>
          <w:p>
            <w:r>
              <w:rPr>
                <w:rFonts w:ascii="Calibri" w:hAnsi="Calibri"/>
                <w:sz w:val="22"/>
              </w:rPr>
              <w:t>$35.2B</w:t>
            </w:r>
          </w:p>
        </w:tc>
        <w:tc>
          <w:tcPr>
            <w:tcW w:type="dxa" w:w="1234"/>
          </w:tcPr>
          <w:p>
            <w:r>
              <w:rPr>
                <w:rFonts w:ascii="Calibri" w:hAnsi="Calibri"/>
                <w:sz w:val="22"/>
              </w:rPr>
              <w:t>$37.2B</w:t>
            </w:r>
          </w:p>
        </w:tc>
        <w:tc>
          <w:tcPr>
            <w:tcW w:type="dxa" w:w="1234"/>
          </w:tcPr>
          <w:p>
            <w:r>
              <w:rPr>
                <w:rFonts w:ascii="Calibri" w:hAnsi="Calibri"/>
                <w:sz w:val="22"/>
              </w:rPr>
              <w:t>+5.7%</w:t>
            </w:r>
          </w:p>
        </w:tc>
        <w:tc>
          <w:tcPr>
            <w:tcW w:type="dxa" w:w="1234"/>
          </w:tcPr>
          <w:p>
            <w:r>
              <w:rPr>
                <w:rFonts w:ascii="Calibri" w:hAnsi="Calibri"/>
                <w:sz w:val="22"/>
              </w:rPr>
              <w:t>No specific Q2 guidance</w:t>
            </w:r>
          </w:p>
        </w:tc>
        <w:tc>
          <w:tcPr>
            <w:tcW w:type="dxa" w:w="1234"/>
          </w:tcPr>
          <w:p>
            <w:r>
              <w:rPr>
                <w:rFonts w:ascii="Calibri" w:hAnsi="Calibri"/>
                <w:sz w:val="22"/>
              </w:rPr>
              <w:t>N/A</w:t>
            </w:r>
          </w:p>
        </w:tc>
      </w:tr>
      <w:tr>
        <w:tc>
          <w:tcPr>
            <w:tcW w:type="dxa" w:w="1234"/>
          </w:tcPr>
          <w:p>
            <w:r>
              <w:rPr>
                <w:rFonts w:ascii="Calibri" w:hAnsi="Calibri"/>
                <w:sz w:val="22"/>
              </w:rPr>
              <w:t>Operating Income ($B)</w:t>
            </w:r>
          </w:p>
        </w:tc>
        <w:tc>
          <w:tcPr>
            <w:tcW w:type="dxa" w:w="1234"/>
          </w:tcPr>
          <w:p>
            <w:r>
              <w:rPr>
                <w:rFonts w:ascii="Calibri" w:hAnsi="Calibri"/>
                <w:sz w:val="22"/>
              </w:rPr>
              <w:t>$3.00B</w:t>
            </w:r>
          </w:p>
        </w:tc>
        <w:tc>
          <w:tcPr>
            <w:tcW w:type="dxa" w:w="1234"/>
          </w:tcPr>
          <w:p>
            <w:r>
              <w:rPr>
                <w:rFonts w:ascii="Calibri" w:hAnsi="Calibri"/>
                <w:sz w:val="22"/>
              </w:rPr>
              <w:t>$3.28B</w:t>
            </w:r>
          </w:p>
        </w:tc>
        <w:tc>
          <w:tcPr>
            <w:tcW w:type="dxa" w:w="1234"/>
          </w:tcPr>
          <w:p>
            <w:r>
              <w:rPr>
                <w:rFonts w:ascii="Calibri" w:hAnsi="Calibri"/>
                <w:sz w:val="22"/>
              </w:rPr>
              <w:t>$3.40B</w:t>
            </w:r>
          </w:p>
        </w:tc>
        <w:tc>
          <w:tcPr>
            <w:tcW w:type="dxa" w:w="1234"/>
          </w:tcPr>
          <w:p>
            <w:r>
              <w:rPr>
                <w:rFonts w:ascii="Calibri" w:hAnsi="Calibri"/>
                <w:sz w:val="22"/>
              </w:rPr>
              <w:t>+3.8%</w:t>
            </w:r>
          </w:p>
        </w:tc>
        <w:tc>
          <w:tcPr>
            <w:tcW w:type="dxa" w:w="1234"/>
          </w:tcPr>
          <w:p>
            <w:r>
              <w:rPr>
                <w:rFonts w:ascii="Calibri" w:hAnsi="Calibri"/>
                <w:sz w:val="22"/>
              </w:rPr>
              <w:t>Operating margin mid-to-high 40% range (FY)</w:t>
            </w:r>
          </w:p>
        </w:tc>
        <w:tc>
          <w:tcPr>
            <w:tcW w:type="dxa" w:w="1234"/>
          </w:tcPr>
          <w:p>
            <w:r>
              <w:rPr>
                <w:rFonts w:ascii="Calibri" w:hAnsi="Calibri"/>
                <w:sz w:val="22"/>
              </w:rPr>
              <w:t>N/A (FY guidance only)</w:t>
            </w:r>
          </w:p>
        </w:tc>
      </w:tr>
      <w:tr>
        <w:tc>
          <w:tcPr>
            <w:tcW w:type="dxa" w:w="1234"/>
          </w:tcPr>
          <w:p>
            <w:r>
              <w:rPr>
                <w:rFonts w:ascii="Calibri" w:hAnsi="Calibri"/>
                <w:sz w:val="22"/>
              </w:rPr>
              <w:t>U.S. Restaurant-Level Margin (%)</w:t>
            </w:r>
          </w:p>
        </w:tc>
        <w:tc>
          <w:tcPr>
            <w:tcW w:type="dxa" w:w="1234"/>
          </w:tcPr>
          <w:p>
            <w:r>
              <w:rPr>
                <w:rFonts w:ascii="Calibri" w:hAnsi="Calibri"/>
                <w:sz w:val="22"/>
              </w:rPr>
              <w:t>8.1%</w:t>
            </w:r>
          </w:p>
        </w:tc>
        <w:tc>
          <w:tcPr>
            <w:tcW w:type="dxa" w:w="1234"/>
          </w:tcPr>
          <w:p>
            <w:r>
              <w:rPr>
                <w:rFonts w:ascii="Calibri" w:hAnsi="Calibri"/>
                <w:sz w:val="22"/>
              </w:rPr>
              <w:t>12.3%</w:t>
            </w:r>
          </w:p>
        </w:tc>
        <w:tc>
          <w:tcPr>
            <w:tcW w:type="dxa" w:w="1234"/>
          </w:tcPr>
          <w:p>
            <w:r>
              <w:rPr>
                <w:rFonts w:ascii="Calibri" w:hAnsi="Calibri"/>
                <w:sz w:val="22"/>
              </w:rPr>
              <w:t>11.4%</w:t>
            </w:r>
          </w:p>
        </w:tc>
        <w:tc>
          <w:tcPr>
            <w:tcW w:type="dxa" w:w="1234"/>
          </w:tcPr>
          <w:p>
            <w:r>
              <w:rPr>
                <w:rFonts w:ascii="Calibri" w:hAnsi="Calibri"/>
                <w:sz w:val="22"/>
              </w:rPr>
              <w:t>−890 bps</w:t>
            </w:r>
          </w:p>
        </w:tc>
        <w:tc>
          <w:tcPr>
            <w:tcW w:type="dxa" w:w="1234"/>
          </w:tcPr>
          <w:p>
            <w:r>
              <w:rPr>
                <w:rFonts w:ascii="Calibri" w:hAnsi="Calibri"/>
                <w:sz w:val="22"/>
              </w:rPr>
              <w:t>"Not acceptable"; active review of ownership structure</w:t>
            </w:r>
          </w:p>
        </w:tc>
        <w:tc>
          <w:tcPr>
            <w:tcW w:type="dxa" w:w="1234"/>
          </w:tcPr>
          <w:p>
            <w:r>
              <w:rPr>
                <w:rFonts w:ascii="Calibri" w:hAnsi="Calibri"/>
                <w:sz w:val="22"/>
              </w:rPr>
              <w:t>Below prior year; improvement expected</w:t>
            </w:r>
          </w:p>
        </w:tc>
      </w:tr>
      <w:tr>
        <w:tc>
          <w:tcPr>
            <w:tcW w:type="dxa" w:w="1234"/>
          </w:tcPr>
          <w:p>
            <w:r>
              <w:rPr>
                <w:rFonts w:ascii="Calibri" w:hAnsi="Calibri"/>
                <w:sz w:val="22"/>
              </w:rPr>
              <w:t>Franchised Margin (%)</w:t>
            </w:r>
          </w:p>
        </w:tc>
        <w:tc>
          <w:tcPr>
            <w:tcW w:type="dxa" w:w="1234"/>
          </w:tcPr>
          <w:p>
            <w:r>
              <w:rPr>
                <w:rFonts w:ascii="Calibri" w:hAnsi="Calibri"/>
                <w:sz w:val="22"/>
              </w:rPr>
              <w:t>83.1%</w:t>
            </w:r>
          </w:p>
        </w:tc>
        <w:tc>
          <w:tcPr>
            <w:tcW w:type="dxa" w:w="1234"/>
          </w:tcPr>
          <w:p>
            <w:r>
              <w:rPr>
                <w:rFonts w:ascii="Calibri" w:hAnsi="Calibri"/>
                <w:sz w:val="22"/>
              </w:rPr>
              <w:t>84.5%</w:t>
            </w:r>
          </w:p>
        </w:tc>
        <w:tc>
          <w:tcPr>
            <w:tcW w:type="dxa" w:w="1234"/>
          </w:tcPr>
          <w:p>
            <w:r>
              <w:rPr>
                <w:rFonts w:ascii="Calibri" w:hAnsi="Calibri"/>
                <w:sz w:val="22"/>
              </w:rPr>
              <w:t>84.5%</w:t>
            </w:r>
          </w:p>
        </w:tc>
        <w:tc>
          <w:tcPr>
            <w:tcW w:type="dxa" w:w="1234"/>
          </w:tcPr>
          <w:p>
            <w:r>
              <w:rPr>
                <w:rFonts w:ascii="Calibri" w:hAnsi="Calibri"/>
                <w:sz w:val="22"/>
              </w:rPr>
              <w:t>~flat</w:t>
            </w:r>
          </w:p>
        </w:tc>
        <w:tc>
          <w:tcPr>
            <w:tcW w:type="dxa" w:w="1234"/>
          </w:tcPr>
          <w:p>
            <w:r>
              <w:rPr>
                <w:rFonts w:ascii="Calibri" w:hAnsi="Calibri"/>
                <w:sz w:val="22"/>
              </w:rPr>
              <w:t>No specific guidance; stable expected</w:t>
            </w:r>
          </w:p>
        </w:tc>
        <w:tc>
          <w:tcPr>
            <w:tcW w:type="dxa" w:w="1234"/>
          </w:tcPr>
          <w:p>
            <w:r>
              <w:rPr>
                <w:rFonts w:ascii="Calibri" w:hAnsi="Calibri"/>
                <w:sz w:val="22"/>
              </w:rPr>
              <w:t>N/A</w:t>
            </w:r>
          </w:p>
        </w:tc>
      </w:tr>
    </w:tbl>
    <w:p>
      <w:r>
        <w:rPr>
          <w:rFonts w:ascii="Calibri" w:hAnsi="Calibri"/>
          <w:i/>
          <w:color w:val="525866"/>
          <w:sz w:val="22"/>
        </w:rPr>
        <w:t>Source: Visible Alpha Consensus and Actuals Data. All consensus estimates as of August 3, 2026. Q1 2026 actuals and Q2 2025 actuals from Visible Alpha reported figures.</w:t>
      </w:r>
    </w:p>
    <w:p>
      <w:pPr>
        <w:pStyle w:val="Heading3"/>
      </w:pPr>
      <w:r>
        <w:rPr>
          <w:rFonts w:ascii="Calibri" w:hAnsi="Calibri"/>
          <w:b/>
          <w:color w:val="3B4259"/>
          <w:sz w:val="24"/>
        </w:rPr>
        <w:t>Table 2 — Beat / Miss History (Last 8 Quarters, Top 2 KPIs)</w:t>
      </w:r>
    </w:p>
    <w:p>
      <w:r>
        <w:rPr>
          <w:rFonts w:ascii="Calibri" w:hAnsi="Calibri"/>
          <w:b/>
          <w:color w:val="525866"/>
          <w:sz w:val="22"/>
        </w:rPr>
        <w:t>KPI 1: Comparable Sales — U.S.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−0.7%</w:t>
            </w:r>
          </w:p>
        </w:tc>
        <w:tc>
          <w:tcPr>
            <w:tcW w:type="dxa" w:w="1728"/>
          </w:tcPr>
          <w:p>
            <w:r>
              <w:rPr>
                <w:rFonts w:ascii="Calibri" w:hAnsi="Calibri"/>
                <w:sz w:val="22"/>
              </w:rPr>
              <w:t>+0.16%</w:t>
            </w:r>
          </w:p>
        </w:tc>
        <w:tc>
          <w:tcPr>
            <w:tcW w:type="dxa" w:w="1728"/>
          </w:tcPr>
          <w:p>
            <w:r>
              <w:rPr>
                <w:rFonts w:ascii="Calibri" w:hAnsi="Calibri"/>
                <w:sz w:val="22"/>
              </w:rPr>
              <w:t>−86 bps</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+0.3%</w:t>
            </w:r>
          </w:p>
        </w:tc>
        <w:tc>
          <w:tcPr>
            <w:tcW w:type="dxa" w:w="1728"/>
          </w:tcPr>
          <w:p>
            <w:r>
              <w:rPr>
                <w:rFonts w:ascii="Calibri" w:hAnsi="Calibri"/>
                <w:sz w:val="22"/>
              </w:rPr>
              <w:t>+0.08%</w:t>
            </w:r>
          </w:p>
        </w:tc>
        <w:tc>
          <w:tcPr>
            <w:tcW w:type="dxa" w:w="1728"/>
          </w:tcPr>
          <w:p>
            <w:r>
              <w:rPr>
                <w:rFonts w:ascii="Calibri" w:hAnsi="Calibri"/>
                <w:sz w:val="22"/>
              </w:rPr>
              <w:t>+22 bps</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−1.4%</w:t>
            </w:r>
          </w:p>
        </w:tc>
        <w:tc>
          <w:tcPr>
            <w:tcW w:type="dxa" w:w="1728"/>
          </w:tcPr>
          <w:p>
            <w:r>
              <w:rPr>
                <w:rFonts w:ascii="Calibri" w:hAnsi="Calibri"/>
                <w:sz w:val="22"/>
              </w:rPr>
              <w:t>−0.22%</w:t>
            </w:r>
          </w:p>
        </w:tc>
        <w:tc>
          <w:tcPr>
            <w:tcW w:type="dxa" w:w="1728"/>
          </w:tcPr>
          <w:p>
            <w:r>
              <w:rPr>
                <w:rFonts w:ascii="Calibri" w:hAnsi="Calibri"/>
                <w:sz w:val="22"/>
              </w:rPr>
              <w:t>−118 bps</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−3.6%</w:t>
            </w:r>
          </w:p>
        </w:tc>
        <w:tc>
          <w:tcPr>
            <w:tcW w:type="dxa" w:w="1728"/>
          </w:tcPr>
          <w:p>
            <w:r>
              <w:rPr>
                <w:rFonts w:ascii="Calibri" w:hAnsi="Calibri"/>
                <w:sz w:val="22"/>
              </w:rPr>
              <w:t>−1.37%</w:t>
            </w:r>
          </w:p>
        </w:tc>
        <w:tc>
          <w:tcPr>
            <w:tcW w:type="dxa" w:w="1728"/>
          </w:tcPr>
          <w:p>
            <w:r>
              <w:rPr>
                <w:rFonts w:ascii="Calibri" w:hAnsi="Calibri"/>
                <w:sz w:val="22"/>
              </w:rPr>
              <w:t>−223 bps</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+2.5%</w:t>
            </w:r>
          </w:p>
        </w:tc>
        <w:tc>
          <w:tcPr>
            <w:tcW w:type="dxa" w:w="1728"/>
          </w:tcPr>
          <w:p>
            <w:r>
              <w:rPr>
                <w:rFonts w:ascii="Calibri" w:hAnsi="Calibri"/>
                <w:sz w:val="22"/>
              </w:rPr>
              <w:t>+2.3%</w:t>
            </w:r>
          </w:p>
        </w:tc>
        <w:tc>
          <w:tcPr>
            <w:tcW w:type="dxa" w:w="1728"/>
          </w:tcPr>
          <w:p>
            <w:r>
              <w:rPr>
                <w:rFonts w:ascii="Calibri" w:hAnsi="Calibri"/>
                <w:sz w:val="22"/>
              </w:rPr>
              <w:t>+20 bps</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+2.4%</w:t>
            </w:r>
          </w:p>
        </w:tc>
        <w:tc>
          <w:tcPr>
            <w:tcW w:type="dxa" w:w="1728"/>
          </w:tcPr>
          <w:p>
            <w:r>
              <w:rPr>
                <w:rFonts w:ascii="Calibri" w:hAnsi="Calibri"/>
                <w:sz w:val="22"/>
              </w:rPr>
              <w:t>+2.15%</w:t>
            </w:r>
          </w:p>
        </w:tc>
        <w:tc>
          <w:tcPr>
            <w:tcW w:type="dxa" w:w="1728"/>
          </w:tcPr>
          <w:p>
            <w:r>
              <w:rPr>
                <w:rFonts w:ascii="Calibri" w:hAnsi="Calibri"/>
                <w:sz w:val="22"/>
              </w:rPr>
              <w:t>+25 bps</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+6.8%</w:t>
            </w:r>
          </w:p>
        </w:tc>
        <w:tc>
          <w:tcPr>
            <w:tcW w:type="dxa" w:w="1728"/>
          </w:tcPr>
          <w:p>
            <w:r>
              <w:rPr>
                <w:rFonts w:ascii="Calibri" w:hAnsi="Calibri"/>
                <w:sz w:val="22"/>
              </w:rPr>
              <w:t>+5.12%</w:t>
            </w:r>
          </w:p>
        </w:tc>
        <w:tc>
          <w:tcPr>
            <w:tcW w:type="dxa" w:w="1728"/>
          </w:tcPr>
          <w:p>
            <w:r>
              <w:rPr>
                <w:rFonts w:ascii="Calibri" w:hAnsi="Calibri"/>
                <w:sz w:val="22"/>
              </w:rPr>
              <w:t>+168 bps</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+3.9%</w:t>
            </w:r>
          </w:p>
        </w:tc>
        <w:tc>
          <w:tcPr>
            <w:tcW w:type="dxa" w:w="1728"/>
          </w:tcPr>
          <w:p>
            <w:r>
              <w:rPr>
                <w:rFonts w:ascii="Calibri" w:hAnsi="Calibri"/>
                <w:sz w:val="22"/>
              </w:rPr>
              <w:t>+4.00%</w:t>
            </w:r>
          </w:p>
        </w:tc>
        <w:tc>
          <w:tcPr>
            <w:tcW w:type="dxa" w:w="1728"/>
          </w:tcPr>
          <w:p>
            <w:r>
              <w:rPr>
                <w:rFonts w:ascii="Calibri" w:hAnsi="Calibri"/>
                <w:sz w:val="22"/>
              </w:rPr>
              <w:t>−10 bps</w:t>
            </w:r>
          </w:p>
        </w:tc>
        <w:tc>
          <w:tcPr>
            <w:tcW w:type="dxa" w:w="1728"/>
          </w:tcPr>
          <w:p>
            <w:r>
              <w:rPr>
                <w:rFonts w:ascii="Calibri" w:hAnsi="Calibri"/>
                <w:b/>
                <w:color w:val="002FA7"/>
                <w:sz w:val="22"/>
              </w:rPr>
              <w:t>In Line</w:t>
            </w:r>
          </w:p>
        </w:tc>
      </w:tr>
    </w:tbl>
    <w:p>
      <w:r>
        <w:rPr>
          <w:rFonts w:ascii="Calibri" w:hAnsi="Calibri"/>
          <w:b/>
          <w:color w:val="525866"/>
          <w:sz w:val="22"/>
        </w:rPr>
        <w:t>KPI 2: Operating EPS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$2.97</w:t>
            </w:r>
          </w:p>
        </w:tc>
        <w:tc>
          <w:tcPr>
            <w:tcW w:type="dxa" w:w="1728"/>
          </w:tcPr>
          <w:p>
            <w:r>
              <w:rPr>
                <w:rFonts w:ascii="Calibri" w:hAnsi="Calibri"/>
                <w:sz w:val="22"/>
              </w:rPr>
              <w:t>$3.09</w:t>
            </w:r>
          </w:p>
        </w:tc>
        <w:tc>
          <w:tcPr>
            <w:tcW w:type="dxa" w:w="1728"/>
          </w:tcPr>
          <w:p>
            <w:r>
              <w:rPr>
                <w:rFonts w:ascii="Calibri" w:hAnsi="Calibri"/>
                <w:sz w:val="22"/>
              </w:rPr>
              <w:t>−3.9%</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$3.23</w:t>
            </w:r>
          </w:p>
        </w:tc>
        <w:tc>
          <w:tcPr>
            <w:tcW w:type="dxa" w:w="1728"/>
          </w:tcPr>
          <w:p>
            <w:r>
              <w:rPr>
                <w:rFonts w:ascii="Calibri" w:hAnsi="Calibri"/>
                <w:sz w:val="22"/>
              </w:rPr>
              <w:t>$3.20</w:t>
            </w:r>
          </w:p>
        </w:tc>
        <w:tc>
          <w:tcPr>
            <w:tcW w:type="dxa" w:w="1728"/>
          </w:tcPr>
          <w:p>
            <w:r>
              <w:rPr>
                <w:rFonts w:ascii="Calibri" w:hAnsi="Calibri"/>
                <w:sz w:val="22"/>
              </w:rPr>
              <w:t>+0.7%</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$2.83</w:t>
            </w:r>
          </w:p>
        </w:tc>
        <w:tc>
          <w:tcPr>
            <w:tcW w:type="dxa" w:w="1728"/>
          </w:tcPr>
          <w:p>
            <w:r>
              <w:rPr>
                <w:rFonts w:ascii="Calibri" w:hAnsi="Calibri"/>
                <w:sz w:val="22"/>
              </w:rPr>
              <w:t>$2.87</w:t>
            </w:r>
          </w:p>
        </w:tc>
        <w:tc>
          <w:tcPr>
            <w:tcW w:type="dxa" w:w="1728"/>
          </w:tcPr>
          <w:p>
            <w:r>
              <w:rPr>
                <w:rFonts w:ascii="Calibri" w:hAnsi="Calibri"/>
                <w:sz w:val="22"/>
              </w:rPr>
              <w:t>−1.4%</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$2.67</w:t>
            </w:r>
          </w:p>
        </w:tc>
        <w:tc>
          <w:tcPr>
            <w:tcW w:type="dxa" w:w="1728"/>
          </w:tcPr>
          <w:p>
            <w:r>
              <w:rPr>
                <w:rFonts w:ascii="Calibri" w:hAnsi="Calibri"/>
                <w:sz w:val="22"/>
              </w:rPr>
              <w:t>$2.67</w:t>
            </w:r>
          </w:p>
        </w:tc>
        <w:tc>
          <w:tcPr>
            <w:tcW w:type="dxa" w:w="1728"/>
          </w:tcPr>
          <w:p>
            <w:r>
              <w:rPr>
                <w:rFonts w:ascii="Calibri" w:hAnsi="Calibri"/>
                <w:sz w:val="22"/>
              </w:rPr>
              <w:t>0.0%</w:t>
            </w:r>
          </w:p>
        </w:tc>
        <w:tc>
          <w:tcPr>
            <w:tcW w:type="dxa" w:w="1728"/>
          </w:tcPr>
          <w:p>
            <w:r>
              <w:rPr>
                <w:rFonts w:ascii="Calibri" w:hAnsi="Calibri"/>
                <w:b/>
                <w:color w:val="002FA7"/>
                <w:sz w:val="22"/>
              </w:rPr>
              <w:t>In Line</w:t>
            </w:r>
          </w:p>
        </w:tc>
      </w:tr>
      <w:tr>
        <w:tc>
          <w:tcPr>
            <w:tcW w:type="dxa" w:w="1728"/>
          </w:tcPr>
          <w:p>
            <w:r>
              <w:rPr>
                <w:rFonts w:ascii="Calibri" w:hAnsi="Calibri"/>
                <w:sz w:val="22"/>
              </w:rPr>
              <w:t>Q2 2025</w:t>
            </w:r>
          </w:p>
        </w:tc>
        <w:tc>
          <w:tcPr>
            <w:tcW w:type="dxa" w:w="1728"/>
          </w:tcPr>
          <w:p>
            <w:r>
              <w:rPr>
                <w:rFonts w:ascii="Calibri" w:hAnsi="Calibri"/>
                <w:sz w:val="22"/>
              </w:rPr>
              <w:t>$3.19</w:t>
            </w:r>
          </w:p>
        </w:tc>
        <w:tc>
          <w:tcPr>
            <w:tcW w:type="dxa" w:w="1728"/>
          </w:tcPr>
          <w:p>
            <w:r>
              <w:rPr>
                <w:rFonts w:ascii="Calibri" w:hAnsi="Calibri"/>
                <w:sz w:val="22"/>
              </w:rPr>
              <w:t>$3.13</w:t>
            </w:r>
          </w:p>
        </w:tc>
        <w:tc>
          <w:tcPr>
            <w:tcW w:type="dxa" w:w="1728"/>
          </w:tcPr>
          <w:p>
            <w:r>
              <w:rPr>
                <w:rFonts w:ascii="Calibri" w:hAnsi="Calibri"/>
                <w:sz w:val="22"/>
              </w:rPr>
              <w:t>+1.9%</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$3.22</w:t>
            </w:r>
          </w:p>
        </w:tc>
        <w:tc>
          <w:tcPr>
            <w:tcW w:type="dxa" w:w="1728"/>
          </w:tcPr>
          <w:p>
            <w:r>
              <w:rPr>
                <w:rFonts w:ascii="Calibri" w:hAnsi="Calibri"/>
                <w:sz w:val="22"/>
              </w:rPr>
              <w:t>$3.33</w:t>
            </w:r>
          </w:p>
        </w:tc>
        <w:tc>
          <w:tcPr>
            <w:tcW w:type="dxa" w:w="1728"/>
          </w:tcPr>
          <w:p>
            <w:r>
              <w:rPr>
                <w:rFonts w:ascii="Calibri" w:hAnsi="Calibri"/>
                <w:sz w:val="22"/>
              </w:rPr>
              <w:t>−3.3%</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$3.12</w:t>
            </w:r>
          </w:p>
        </w:tc>
        <w:tc>
          <w:tcPr>
            <w:tcW w:type="dxa" w:w="1728"/>
          </w:tcPr>
          <w:p>
            <w:r>
              <w:rPr>
                <w:rFonts w:ascii="Calibri" w:hAnsi="Calibri"/>
                <w:sz w:val="22"/>
              </w:rPr>
              <w:t>$3.04</w:t>
            </w:r>
          </w:p>
        </w:tc>
        <w:tc>
          <w:tcPr>
            <w:tcW w:type="dxa" w:w="1728"/>
          </w:tcPr>
          <w:p>
            <w:r>
              <w:rPr>
                <w:rFonts w:ascii="Calibri" w:hAnsi="Calibri"/>
                <w:sz w:val="22"/>
              </w:rPr>
              <w:t>+2.6%</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$2.83</w:t>
            </w:r>
          </w:p>
        </w:tc>
        <w:tc>
          <w:tcPr>
            <w:tcW w:type="dxa" w:w="1728"/>
          </w:tcPr>
          <w:p>
            <w:r>
              <w:rPr>
                <w:rFonts w:ascii="Calibri" w:hAnsi="Calibri"/>
                <w:sz w:val="22"/>
              </w:rPr>
              <w:t>$2.74</w:t>
            </w:r>
          </w:p>
        </w:tc>
        <w:tc>
          <w:tcPr>
            <w:tcW w:type="dxa" w:w="1728"/>
          </w:tcPr>
          <w:p>
            <w:r>
              <w:rPr>
                <w:rFonts w:ascii="Calibri" w:hAnsi="Calibri"/>
                <w:sz w:val="22"/>
              </w:rPr>
              <w:t>+3.3%</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MCD has beaten on Operating EPS in 4 of the last 8 quarters and missed in 3, with the most recent Q1 2026 a beat of +3.3%; U.S. comp has been more volatile, missing in 3 of the last 8 quarters (including three consecutive misses in Q2–Q4 2024 and Q1 2025) before recovering strongly in Q4 2025 and Q1 2026, suggesting the bar reset is working but the trend is fragile.</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Full-year 2026 guidance was reaffirmed in full on the Q1 call with no post-earnings revisions; the tone shift is the new explicit acknowledgment that U.S. company-operated margins are "</w:t>
      </w:r>
      <w:r>
        <w:rPr>
          <w:rFonts w:ascii="Calibri" w:hAnsi="Calibri"/>
          <w:b/>
          <w:color w:val="525866"/>
          <w:sz w:val="22"/>
        </w:rPr>
        <w:t>not acceptable</w:t>
      </w:r>
      <w:r>
        <w:rPr>
          <w:rFonts w:ascii="Calibri" w:hAnsi="Calibri"/>
          <w:color w:val="525866"/>
          <w:sz w:val="22"/>
        </w:rPr>
        <w:t>" and that refranchising is under active review — a meaningful strategic signal ahead of the September 2026 Investor Day.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7,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U.S. Comparable Sales (Q2)</w:t>
            </w:r>
          </w:p>
        </w:tc>
        <w:tc>
          <w:tcPr>
            <w:tcW w:type="dxa" w:w="1728"/>
          </w:tcPr>
          <w:p>
            <w:r>
              <w:rPr>
                <w:rFonts w:ascii="Calibri" w:hAnsi="Calibri"/>
                <w:sz w:val="22"/>
              </w:rPr>
              <w:t>Meaningful deceleration from Q1's +3.9%; slightly negative in April; expects acceleration on 2-yr stack</w:t>
            </w:r>
          </w:p>
        </w:tc>
        <w:tc>
          <w:tcPr>
            <w:tcW w:type="dxa" w:w="1728"/>
          </w:tcPr>
          <w:p>
            <w:r>
              <w:rPr>
                <w:rFonts w:ascii="Calibri" w:hAnsi="Calibri"/>
                <w:sz w:val="22"/>
              </w:rPr>
              <w:t>—</w:t>
            </w:r>
          </w:p>
        </w:tc>
        <w:tc>
          <w:tcPr>
            <w:tcW w:type="dxa" w:w="1728"/>
          </w:tcPr>
          <w:p>
            <w:r>
              <w:rPr>
                <w:rFonts w:ascii="Calibri" w:hAnsi="Calibri"/>
                <w:sz w:val="22"/>
              </w:rPr>
              <w:t>+0.76%</w:t>
            </w:r>
          </w:p>
        </w:tc>
        <w:tc>
          <w:tcPr>
            <w:tcW w:type="dxa" w:w="1728"/>
          </w:tcPr>
          <w:p>
            <w:r>
              <w:rPr>
                <w:rFonts w:ascii="Calibri" w:hAnsi="Calibri"/>
                <w:sz w:val="22"/>
              </w:rPr>
              <w:t>Unchanged; consensus in line with guidance direction</w:t>
            </w:r>
          </w:p>
        </w:tc>
      </w:tr>
      <w:tr>
        <w:tc>
          <w:tcPr>
            <w:tcW w:type="dxa" w:w="1728"/>
          </w:tcPr>
          <w:p>
            <w:r>
              <w:rPr>
                <w:rFonts w:ascii="Calibri" w:hAnsi="Calibri"/>
                <w:sz w:val="22"/>
              </w:rPr>
              <w:t>IOM Comparable Sales (Q2)</w:t>
            </w:r>
          </w:p>
        </w:tc>
        <w:tc>
          <w:tcPr>
            <w:tcW w:type="dxa" w:w="1728"/>
          </w:tcPr>
          <w:p>
            <w:r>
              <w:rPr>
                <w:rFonts w:ascii="Calibri" w:hAnsi="Calibri"/>
                <w:sz w:val="22"/>
              </w:rPr>
              <w:t>Meaningful deceleration from Q1's +3.9%; slightly negative in April; expects acceleration on 2-yr stack</w:t>
            </w:r>
          </w:p>
        </w:tc>
        <w:tc>
          <w:tcPr>
            <w:tcW w:type="dxa" w:w="1728"/>
          </w:tcPr>
          <w:p>
            <w:r>
              <w:rPr>
                <w:rFonts w:ascii="Calibri" w:hAnsi="Calibri"/>
                <w:sz w:val="22"/>
              </w:rPr>
              <w:t>—</w:t>
            </w:r>
          </w:p>
        </w:tc>
        <w:tc>
          <w:tcPr>
            <w:tcW w:type="dxa" w:w="1728"/>
          </w:tcPr>
          <w:p>
            <w:r>
              <w:rPr>
                <w:rFonts w:ascii="Calibri" w:hAnsi="Calibri"/>
                <w:sz w:val="22"/>
              </w:rPr>
              <w:t>+1.47%</w:t>
            </w:r>
          </w:p>
        </w:tc>
        <w:tc>
          <w:tcPr>
            <w:tcW w:type="dxa" w:w="1728"/>
          </w:tcPr>
          <w:p>
            <w:r>
              <w:rPr>
                <w:rFonts w:ascii="Calibri" w:hAnsi="Calibri"/>
                <w:sz w:val="22"/>
              </w:rPr>
              <w:t>Unchanged; consensus in line with guidance direction</w:t>
            </w:r>
          </w:p>
        </w:tc>
      </w:tr>
      <w:tr>
        <w:tc>
          <w:tcPr>
            <w:tcW w:type="dxa" w:w="1728"/>
          </w:tcPr>
          <w:p>
            <w:r>
              <w:rPr>
                <w:rFonts w:ascii="Calibri" w:hAnsi="Calibri"/>
                <w:sz w:val="22"/>
              </w:rPr>
              <w:t>IDL Comparable Sales (Q2)</w:t>
            </w:r>
          </w:p>
        </w:tc>
        <w:tc>
          <w:tcPr>
            <w:tcW w:type="dxa" w:w="1728"/>
          </w:tcPr>
          <w:p>
            <w:r>
              <w:rPr>
                <w:rFonts w:ascii="Calibri" w:hAnsi="Calibri"/>
                <w:sz w:val="22"/>
              </w:rPr>
              <w:t>Deceleration from Q1's +3.4%; Middle East volatility and Asia headwinds; slight acceleration on 2-yr stack</w:t>
            </w:r>
          </w:p>
        </w:tc>
        <w:tc>
          <w:tcPr>
            <w:tcW w:type="dxa" w:w="1728"/>
          </w:tcPr>
          <w:p>
            <w:r>
              <w:rPr>
                <w:rFonts w:ascii="Calibri" w:hAnsi="Calibri"/>
                <w:sz w:val="22"/>
              </w:rPr>
              <w:t>—</w:t>
            </w:r>
          </w:p>
        </w:tc>
        <w:tc>
          <w:tcPr>
            <w:tcW w:type="dxa" w:w="1728"/>
          </w:tcPr>
          <w:p>
            <w:r>
              <w:rPr>
                <w:rFonts w:ascii="Calibri" w:hAnsi="Calibri"/>
                <w:sz w:val="22"/>
              </w:rPr>
              <w:t>+1.82%</w:t>
            </w:r>
          </w:p>
        </w:tc>
        <w:tc>
          <w:tcPr>
            <w:tcW w:type="dxa" w:w="1728"/>
          </w:tcPr>
          <w:p>
            <w:r>
              <w:rPr>
                <w:rFonts w:ascii="Calibri" w:hAnsi="Calibri"/>
                <w:sz w:val="22"/>
              </w:rPr>
              <w:t>Unchanged; consensus in line with guidance direction</w:t>
            </w:r>
          </w:p>
        </w:tc>
      </w:tr>
      <w:tr>
        <w:tc>
          <w:tcPr>
            <w:tcW w:type="dxa" w:w="1728"/>
          </w:tcPr>
          <w:p>
            <w:r>
              <w:rPr>
                <w:rFonts w:ascii="Calibri" w:hAnsi="Calibri"/>
                <w:sz w:val="22"/>
              </w:rPr>
              <w:t>FY 2026 Operating Margin</w:t>
            </w:r>
          </w:p>
        </w:tc>
        <w:tc>
          <w:tcPr>
            <w:tcW w:type="dxa" w:w="1728"/>
          </w:tcPr>
          <w:p>
            <w:r>
              <w:rPr>
                <w:rFonts w:ascii="Calibri" w:hAnsi="Calibri"/>
                <w:sz w:val="22"/>
              </w:rPr>
              <w:t>Mid-to-high 40% range</w:t>
            </w:r>
          </w:p>
        </w:tc>
        <w:tc>
          <w:tcPr>
            <w:tcW w:type="dxa" w:w="1728"/>
          </w:tcPr>
          <w:p>
            <w:r>
              <w:rPr>
                <w:rFonts w:ascii="Calibri" w:hAnsi="Calibri"/>
                <w:sz w:val="22"/>
              </w:rPr>
              <w:t>—</w:t>
            </w:r>
          </w:p>
        </w:tc>
        <w:tc>
          <w:tcPr>
            <w:tcW w:type="dxa" w:w="1728"/>
          </w:tcPr>
          <w:p>
            <w:r>
              <w:rPr>
                <w:rFonts w:ascii="Calibri" w:hAnsi="Calibri"/>
                <w:sz w:val="22"/>
              </w:rPr>
              <w:t>~47.2% (FY consensus)</w:t>
            </w:r>
          </w:p>
        </w:tc>
        <w:tc>
          <w:tcPr>
            <w:tcW w:type="dxa" w:w="1728"/>
          </w:tcPr>
          <w:p>
            <w:r>
              <w:rPr>
                <w:rFonts w:ascii="Calibri" w:hAnsi="Calibri"/>
                <w:sz w:val="22"/>
              </w:rPr>
              <w:t>Unchanged; reaffirmed on Q1 call</w:t>
            </w:r>
          </w:p>
        </w:tc>
      </w:tr>
      <w:tr>
        <w:tc>
          <w:tcPr>
            <w:tcW w:type="dxa" w:w="1728"/>
          </w:tcPr>
          <w:p>
            <w:r>
              <w:rPr>
                <w:rFonts w:ascii="Calibri" w:hAnsi="Calibri"/>
                <w:sz w:val="22"/>
              </w:rPr>
              <w:t>FY 2026 EPS (FX Tailwind)</w:t>
            </w:r>
          </w:p>
        </w:tc>
        <w:tc>
          <w:tcPr>
            <w:tcW w:type="dxa" w:w="1728"/>
          </w:tcPr>
          <w:p>
            <w:r>
              <w:rPr>
                <w:rFonts w:ascii="Calibri" w:hAnsi="Calibri"/>
                <w:sz w:val="22"/>
              </w:rPr>
              <w:t>$0.20–$0.30 FX tailwind to FY EPS; full-year targets reaffirmed</w:t>
            </w:r>
          </w:p>
        </w:tc>
        <w:tc>
          <w:tcPr>
            <w:tcW w:type="dxa" w:w="1728"/>
          </w:tcPr>
          <w:p>
            <w:r>
              <w:rPr>
                <w:rFonts w:ascii="Calibri" w:hAnsi="Calibri"/>
                <w:sz w:val="22"/>
              </w:rPr>
              <w:t>—</w:t>
            </w:r>
          </w:p>
        </w:tc>
        <w:tc>
          <w:tcPr>
            <w:tcW w:type="dxa" w:w="1728"/>
          </w:tcPr>
          <w:p>
            <w:r>
              <w:rPr>
                <w:rFonts w:ascii="Calibri" w:hAnsi="Calibri"/>
                <w:sz w:val="22"/>
              </w:rPr>
              <w:t>$12.91 FY consensus</w:t>
            </w:r>
          </w:p>
        </w:tc>
        <w:tc>
          <w:tcPr>
            <w:tcW w:type="dxa" w:w="1728"/>
          </w:tcPr>
          <w:p>
            <w:r>
              <w:rPr>
                <w:rFonts w:ascii="Calibri" w:hAnsi="Calibri"/>
                <w:sz w:val="22"/>
              </w:rPr>
              <w:t>Unchanged; FX tailwind embedded in consensus</w:t>
            </w:r>
          </w:p>
        </w:tc>
      </w:tr>
      <w:tr>
        <w:tc>
          <w:tcPr>
            <w:tcW w:type="dxa" w:w="1728"/>
          </w:tcPr>
          <w:p>
            <w:r>
              <w:rPr>
                <w:rFonts w:ascii="Calibri" w:hAnsi="Calibri"/>
                <w:sz w:val="22"/>
              </w:rPr>
              <w:t>FY 2026 Gross Restaurant Openings</w:t>
            </w:r>
          </w:p>
        </w:tc>
        <w:tc>
          <w:tcPr>
            <w:tcW w:type="dxa" w:w="1728"/>
          </w:tcPr>
          <w:p>
            <w:r>
              <w:rPr>
                <w:rFonts w:ascii="Calibri" w:hAnsi="Calibri"/>
                <w:sz w:val="22"/>
              </w:rPr>
              <w:t>~2,600 gross openings; ~50,000 restaurants by end of 2027</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Unchanged; development pipeline under review for return thresholds</w:t>
            </w:r>
          </w:p>
        </w:tc>
      </w:tr>
      <w:tr>
        <w:tc>
          <w:tcPr>
            <w:tcW w:type="dxa" w:w="1728"/>
          </w:tcPr>
          <w:p>
            <w:r>
              <w:rPr>
                <w:rFonts w:ascii="Calibri" w:hAnsi="Calibri"/>
                <w:sz w:val="22"/>
              </w:rPr>
              <w:t>U.S. Food &amp; Paper Inflation (FY)</w:t>
            </w:r>
          </w:p>
        </w:tc>
        <w:tc>
          <w:tcPr>
            <w:tcW w:type="dxa" w:w="1728"/>
          </w:tcPr>
          <w:p>
            <w:r>
              <w:rPr>
                <w:rFonts w:ascii="Calibri" w:hAnsi="Calibri"/>
                <w:sz w:val="22"/>
              </w:rPr>
              <w:t>Low-to-mid single digits in U.S.; mid-single digits in IOM</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longer-term inflation risk flagged due to supply chain disruptions</w:t>
            </w:r>
          </w:p>
        </w:tc>
      </w:tr>
      <w:tr>
        <w:tc>
          <w:tcPr>
            <w:tcW w:type="dxa" w:w="1728"/>
          </w:tcPr>
          <w:p>
            <w:r>
              <w:rPr>
                <w:rFonts w:ascii="Calibri" w:hAnsi="Calibri"/>
                <w:sz w:val="22"/>
              </w:rPr>
              <w:t>U.S. Company-Operated Margins</w:t>
            </w:r>
          </w:p>
        </w:tc>
        <w:tc>
          <w:tcPr>
            <w:tcW w:type="dxa" w:w="1728"/>
          </w:tcPr>
          <w:p>
            <w:r>
              <w:rPr>
                <w:rFonts w:ascii="Calibri" w:hAnsi="Calibri"/>
                <w:sz w:val="22"/>
              </w:rPr>
              <w:t>"Not acceptable"; active review of optimal franchisee vs. company ownership balance; refranchising under consideration</w:t>
            </w:r>
          </w:p>
        </w:tc>
        <w:tc>
          <w:tcPr>
            <w:tcW w:type="dxa" w:w="1728"/>
          </w:tcPr>
          <w:p>
            <w:r>
              <w:rPr>
                <w:rFonts w:ascii="Calibri" w:hAnsi="Calibri"/>
                <w:sz w:val="22"/>
              </w:rPr>
              <w:t>—</w:t>
            </w:r>
          </w:p>
        </w:tc>
        <w:tc>
          <w:tcPr>
            <w:tcW w:type="dxa" w:w="1728"/>
          </w:tcPr>
          <w:p>
            <w:r>
              <w:rPr>
                <w:rFonts w:ascii="Calibri" w:hAnsi="Calibri"/>
                <w:sz w:val="22"/>
              </w:rPr>
              <w:t>11.4% Q2 consensus (vs. 8.1% Q1 actual)</w:t>
            </w:r>
          </w:p>
        </w:tc>
        <w:tc>
          <w:tcPr>
            <w:tcW w:type="dxa" w:w="1728"/>
          </w:tcPr>
          <w:p>
            <w:r>
              <w:rPr>
                <w:rFonts w:ascii="Calibri" w:hAnsi="Calibri"/>
                <w:sz w:val="22"/>
              </w:rPr>
              <w:t>↑ Improvement expected; strategic update at September 2026 Investor Day</w:t>
            </w:r>
          </w:p>
        </w:tc>
      </w:tr>
    </w:tbl>
    <w:p>
      <w:r>
        <w:rPr>
          <w:rFonts w:ascii="Calibri" w:hAnsi="Calibri"/>
          <w:b/>
          <w:color w:val="525866"/>
          <w:sz w:val="22"/>
        </w:rPr>
        <w:t xml:space="preserve">Commentary: </w:t>
      </w:r>
      <w:r>
        <w:rPr>
          <w:rFonts w:ascii="Calibri" w:hAnsi="Calibri"/>
          <w:color w:val="525866"/>
          <w:sz w:val="22"/>
        </w:rPr>
        <w:t>No post-earnings guidance revisions have been issued since the May 7 Q1 call. The most significant tone shift is management's explicit dissatisfaction with U.S. company-operated restaurant margins (8.1% in Q1 vs. 12.3% in Q2 2025), attributed to excess labor investment and overly conservative pricing. CEO Kempczinski stated the company will either fix the performance or "</w:t>
      </w:r>
      <w:r>
        <w:rPr>
          <w:rFonts w:ascii="Calibri" w:hAnsi="Calibri"/>
          <w:b/>
          <w:color w:val="525866"/>
          <w:sz w:val="22"/>
        </w:rPr>
        <w:t>find franchisees who can run the restaurant better</w:t>
      </w:r>
      <w:r>
        <w:rPr>
          <w:rFonts w:ascii="Calibri" w:hAnsi="Calibri"/>
          <w:color w:val="525866"/>
          <w:sz w:val="22"/>
        </w:rPr>
        <w:t>" — a direct refranchising signal. Any material structural changes are expected to be announced at the September 2026 Investor Day. The national beverage platform launch (McCafé refreshers and crafted sodas) and McValue 2.0 relaunch in mid-April are the two key incremental growth initiatives not yet reflected in the guidance baseline.</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largely stable since the Q1 print with only modest downward drift on U.S. comp (from +1.26% to +0.76%) and minimal movement on EPS, suggesting the street has absorbed the guided deceleration without panic — the gap between current consensus and guidance is not a risk, it is the guided outcome.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KPI (Period)</w:t>
            </w:r>
          </w:p>
        </w:tc>
        <w:tc>
          <w:tcPr>
            <w:tcW w:type="dxa" w:w="1440"/>
            <w:shd w:val="clear" w:color="auto" w:fill="3B4259"/>
          </w:tcPr>
          <w:p>
            <w:r>
              <w:rPr>
                <w:rFonts w:ascii="Calibri" w:hAnsi="Calibri"/>
                <w:b/>
                <w:color w:val="FFFFFF"/>
                <w:sz w:val="22"/>
              </w:rPr>
              <w:t>Estimate as of May 12, 2026 (5 Days Post Q1 Print)</w:t>
            </w:r>
          </w:p>
        </w:tc>
        <w:tc>
          <w:tcPr>
            <w:tcW w:type="dxa" w:w="1440"/>
            <w:shd w:val="clear" w:color="auto" w:fill="3B4259"/>
          </w:tcPr>
          <w:p>
            <w:r>
              <w:rPr>
                <w:rFonts w:ascii="Calibri" w:hAnsi="Calibri"/>
                <w:b/>
                <w:color w:val="FFFFFF"/>
                <w:sz w:val="22"/>
              </w:rPr>
              <w:t>Current Consensus (Aug 3, 2026)</w:t>
            </w:r>
          </w:p>
        </w:tc>
        <w:tc>
          <w:tcPr>
            <w:tcW w:type="dxa" w:w="1440"/>
            <w:shd w:val="clear" w:color="auto" w:fill="3B4259"/>
          </w:tcPr>
          <w:p>
            <w:r>
              <w:rPr>
                <w:rFonts w:ascii="Calibri" w:hAnsi="Calibri"/>
                <w:b/>
                <w:color w:val="FFFFFF"/>
                <w:sz w:val="22"/>
              </w:rPr>
              <w:t>Estimate Δ (%)</w:t>
            </w:r>
          </w:p>
        </w:tc>
        <w:tc>
          <w:tcPr>
            <w:tcW w:type="dxa" w:w="1440"/>
            <w:shd w:val="clear" w:color="auto" w:fill="3B4259"/>
          </w:tcPr>
          <w:p>
            <w:r>
              <w:rPr>
                <w:rFonts w:ascii="Calibri" w:hAnsi="Calibri"/>
                <w:b/>
                <w:color w:val="FFFFFF"/>
                <w:sz w:val="22"/>
              </w:rPr>
              <w:t>Initial Guidance (Q1 Call)</w:t>
            </w:r>
          </w:p>
        </w:tc>
        <w:tc>
          <w:tcPr>
            <w:tcW w:type="dxa" w:w="1440"/>
            <w:shd w:val="clear" w:color="auto" w:fill="3B4259"/>
          </w:tcPr>
          <w:p>
            <w:r>
              <w:rPr>
                <w:rFonts w:ascii="Calibri" w:hAnsi="Calibri"/>
                <w:b/>
                <w:color w:val="FFFFFF"/>
                <w:sz w:val="22"/>
              </w:rPr>
              <w:t>Consensus vs. Guidance</w:t>
            </w:r>
          </w:p>
        </w:tc>
      </w:tr>
      <w:tr>
        <w:tc>
          <w:tcPr>
            <w:tcW w:type="dxa" w:w="1440"/>
          </w:tcPr>
          <w:p>
            <w:r>
              <w:rPr>
                <w:rFonts w:ascii="Calibri" w:hAnsi="Calibri"/>
                <w:sz w:val="22"/>
              </w:rPr>
              <w:t>Operating EPS — Q2 2026</w:t>
            </w:r>
          </w:p>
        </w:tc>
        <w:tc>
          <w:tcPr>
            <w:tcW w:type="dxa" w:w="1440"/>
          </w:tcPr>
          <w:p>
            <w:r>
              <w:rPr>
                <w:rFonts w:ascii="Calibri" w:hAnsi="Calibri"/>
                <w:sz w:val="22"/>
              </w:rPr>
              <w:t>$3.34</w:t>
            </w:r>
          </w:p>
        </w:tc>
        <w:tc>
          <w:tcPr>
            <w:tcW w:type="dxa" w:w="1440"/>
          </w:tcPr>
          <w:p>
            <w:r>
              <w:rPr>
                <w:rFonts w:ascii="Calibri" w:hAnsi="Calibri"/>
                <w:sz w:val="22"/>
              </w:rPr>
              <w:t>$3.32</w:t>
            </w:r>
          </w:p>
        </w:tc>
        <w:tc>
          <w:tcPr>
            <w:tcW w:type="dxa" w:w="1440"/>
          </w:tcPr>
          <w:p>
            <w:r>
              <w:rPr>
                <w:rFonts w:ascii="Calibri" w:hAnsi="Calibri"/>
                <w:sz w:val="22"/>
              </w:rPr>
              <w:t>−0.6%</w:t>
            </w:r>
          </w:p>
        </w:tc>
        <w:tc>
          <w:tcPr>
            <w:tcW w:type="dxa" w:w="1440"/>
          </w:tcPr>
          <w:p>
            <w:r>
              <w:rPr>
                <w:rFonts w:ascii="Calibri" w:hAnsi="Calibri"/>
                <w:sz w:val="22"/>
              </w:rPr>
              <w:t>No Q2 EPS guidance; FX tailwind of $0.20–$0.30 for FY</w:t>
            </w:r>
          </w:p>
        </w:tc>
        <w:tc>
          <w:tcPr>
            <w:tcW w:type="dxa" w:w="1440"/>
          </w:tcPr>
          <w:p>
            <w:r>
              <w:rPr>
                <w:rFonts w:ascii="Calibri" w:hAnsi="Calibri"/>
                <w:sz w:val="22"/>
              </w:rPr>
              <w:t>N/A (no Q2 guidance)</w:t>
            </w:r>
          </w:p>
        </w:tc>
      </w:tr>
      <w:tr>
        <w:tc>
          <w:tcPr>
            <w:tcW w:type="dxa" w:w="1440"/>
          </w:tcPr>
          <w:p>
            <w:r>
              <w:rPr>
                <w:rFonts w:ascii="Calibri" w:hAnsi="Calibri"/>
                <w:sz w:val="22"/>
              </w:rPr>
              <w:t>Operating EPS — FY 2026</w:t>
            </w:r>
          </w:p>
        </w:tc>
        <w:tc>
          <w:tcPr>
            <w:tcW w:type="dxa" w:w="1440"/>
          </w:tcPr>
          <w:p>
            <w:r>
              <w:rPr>
                <w:rFonts w:ascii="Calibri" w:hAnsi="Calibri"/>
                <w:sz w:val="22"/>
              </w:rPr>
              <w:t>$12.97</w:t>
            </w:r>
          </w:p>
        </w:tc>
        <w:tc>
          <w:tcPr>
            <w:tcW w:type="dxa" w:w="1440"/>
          </w:tcPr>
          <w:p>
            <w:r>
              <w:rPr>
                <w:rFonts w:ascii="Calibri" w:hAnsi="Calibri"/>
                <w:sz w:val="22"/>
              </w:rPr>
              <w:t>$12.91</w:t>
            </w:r>
          </w:p>
        </w:tc>
        <w:tc>
          <w:tcPr>
            <w:tcW w:type="dxa" w:w="1440"/>
          </w:tcPr>
          <w:p>
            <w:r>
              <w:rPr>
                <w:rFonts w:ascii="Calibri" w:hAnsi="Calibri"/>
                <w:sz w:val="22"/>
              </w:rPr>
              <w:t>−0.5%</w:t>
            </w:r>
          </w:p>
        </w:tc>
        <w:tc>
          <w:tcPr>
            <w:tcW w:type="dxa" w:w="1440"/>
          </w:tcPr>
          <w:p>
            <w:r>
              <w:rPr>
                <w:rFonts w:ascii="Calibri" w:hAnsi="Calibri"/>
                <w:sz w:val="22"/>
              </w:rPr>
              <w:t>FY targets reaffirmed; FX tailwind $0.20–$0.30</w:t>
            </w:r>
          </w:p>
        </w:tc>
        <w:tc>
          <w:tcPr>
            <w:tcW w:type="dxa" w:w="1440"/>
          </w:tcPr>
          <w:p>
            <w:r>
              <w:rPr>
                <w:rFonts w:ascii="Calibri" w:hAnsi="Calibri"/>
                <w:sz w:val="22"/>
              </w:rPr>
              <w:t>In line with guidance</w:t>
            </w:r>
          </w:p>
        </w:tc>
      </w:tr>
      <w:tr>
        <w:tc>
          <w:tcPr>
            <w:tcW w:type="dxa" w:w="1440"/>
          </w:tcPr>
          <w:p>
            <w:r>
              <w:rPr>
                <w:rFonts w:ascii="Calibri" w:hAnsi="Calibri"/>
                <w:sz w:val="22"/>
              </w:rPr>
              <w:t>Total Revenue — Q2 2026</w:t>
            </w:r>
          </w:p>
        </w:tc>
        <w:tc>
          <w:tcPr>
            <w:tcW w:type="dxa" w:w="1440"/>
          </w:tcPr>
          <w:p>
            <w:r>
              <w:rPr>
                <w:rFonts w:ascii="Calibri" w:hAnsi="Calibri"/>
                <w:sz w:val="22"/>
              </w:rPr>
              <w:t>$7.16B</w:t>
            </w:r>
          </w:p>
        </w:tc>
        <w:tc>
          <w:tcPr>
            <w:tcW w:type="dxa" w:w="1440"/>
          </w:tcPr>
          <w:p>
            <w:r>
              <w:rPr>
                <w:rFonts w:ascii="Calibri" w:hAnsi="Calibri"/>
                <w:sz w:val="22"/>
              </w:rPr>
              <w:t>$7.13B</w:t>
            </w:r>
          </w:p>
        </w:tc>
        <w:tc>
          <w:tcPr>
            <w:tcW w:type="dxa" w:w="1440"/>
          </w:tcPr>
          <w:p>
            <w:r>
              <w:rPr>
                <w:rFonts w:ascii="Calibri" w:hAnsi="Calibri"/>
                <w:sz w:val="22"/>
              </w:rPr>
              <w:t>−0.4%</w:t>
            </w:r>
          </w:p>
        </w:tc>
        <w:tc>
          <w:tcPr>
            <w:tcW w:type="dxa" w:w="1440"/>
          </w:tcPr>
          <w:p>
            <w:r>
              <w:rPr>
                <w:rFonts w:ascii="Calibri" w:hAnsi="Calibri"/>
                <w:sz w:val="22"/>
              </w:rPr>
              <w:t>No Q2 revenue guidance</w:t>
            </w:r>
          </w:p>
        </w:tc>
        <w:tc>
          <w:tcPr>
            <w:tcW w:type="dxa" w:w="1440"/>
          </w:tcPr>
          <w:p>
            <w:r>
              <w:rPr>
                <w:rFonts w:ascii="Calibri" w:hAnsi="Calibri"/>
                <w:sz w:val="22"/>
              </w:rPr>
              <w:t>N/A</w:t>
            </w:r>
          </w:p>
        </w:tc>
      </w:tr>
      <w:tr>
        <w:tc>
          <w:tcPr>
            <w:tcW w:type="dxa" w:w="1440"/>
          </w:tcPr>
          <w:p>
            <w:r>
              <w:rPr>
                <w:rFonts w:ascii="Calibri" w:hAnsi="Calibri"/>
                <w:sz w:val="22"/>
              </w:rPr>
              <w:t>Total Revenue — FY 2026</w:t>
            </w:r>
          </w:p>
        </w:tc>
        <w:tc>
          <w:tcPr>
            <w:tcW w:type="dxa" w:w="1440"/>
          </w:tcPr>
          <w:p>
            <w:r>
              <w:rPr>
                <w:rFonts w:ascii="Calibri" w:hAnsi="Calibri"/>
                <w:sz w:val="22"/>
              </w:rPr>
              <w:t>$28.55B</w:t>
            </w:r>
          </w:p>
        </w:tc>
        <w:tc>
          <w:tcPr>
            <w:tcW w:type="dxa" w:w="1440"/>
          </w:tcPr>
          <w:p>
            <w:r>
              <w:rPr>
                <w:rFonts w:ascii="Calibri" w:hAnsi="Calibri"/>
                <w:sz w:val="22"/>
              </w:rPr>
              <w:t>$28.43B</w:t>
            </w:r>
          </w:p>
        </w:tc>
        <w:tc>
          <w:tcPr>
            <w:tcW w:type="dxa" w:w="1440"/>
          </w:tcPr>
          <w:p>
            <w:r>
              <w:rPr>
                <w:rFonts w:ascii="Calibri" w:hAnsi="Calibri"/>
                <w:sz w:val="22"/>
              </w:rPr>
              <w:t>−0.4%</w:t>
            </w:r>
          </w:p>
        </w:tc>
        <w:tc>
          <w:tcPr>
            <w:tcW w:type="dxa" w:w="1440"/>
          </w:tcPr>
          <w:p>
            <w:r>
              <w:rPr>
                <w:rFonts w:ascii="Calibri" w:hAnsi="Calibri"/>
                <w:sz w:val="22"/>
              </w:rPr>
              <w:t>FY targets reaffirmed</w:t>
            </w:r>
          </w:p>
        </w:tc>
        <w:tc>
          <w:tcPr>
            <w:tcW w:type="dxa" w:w="1440"/>
          </w:tcPr>
          <w:p>
            <w:r>
              <w:rPr>
                <w:rFonts w:ascii="Calibri" w:hAnsi="Calibri"/>
                <w:sz w:val="22"/>
              </w:rPr>
              <w:t>In line with guidance</w:t>
            </w:r>
          </w:p>
        </w:tc>
      </w:tr>
      <w:tr>
        <w:tc>
          <w:tcPr>
            <w:tcW w:type="dxa" w:w="1440"/>
          </w:tcPr>
          <w:p>
            <w:r>
              <w:rPr>
                <w:rFonts w:ascii="Calibri" w:hAnsi="Calibri"/>
                <w:sz w:val="22"/>
              </w:rPr>
              <w:t>U.S. Comp Sales — Q2 2026</w:t>
            </w:r>
          </w:p>
        </w:tc>
        <w:tc>
          <w:tcPr>
            <w:tcW w:type="dxa" w:w="1440"/>
          </w:tcPr>
          <w:p>
            <w:r>
              <w:rPr>
                <w:rFonts w:ascii="Calibri" w:hAnsi="Calibri"/>
                <w:sz w:val="22"/>
              </w:rPr>
              <w:t>+1.26%</w:t>
            </w:r>
          </w:p>
        </w:tc>
        <w:tc>
          <w:tcPr>
            <w:tcW w:type="dxa" w:w="1440"/>
          </w:tcPr>
          <w:p>
            <w:r>
              <w:rPr>
                <w:rFonts w:ascii="Calibri" w:hAnsi="Calibri"/>
                <w:sz w:val="22"/>
              </w:rPr>
              <w:t>+0.76%</w:t>
            </w:r>
          </w:p>
        </w:tc>
        <w:tc>
          <w:tcPr>
            <w:tcW w:type="dxa" w:w="1440"/>
          </w:tcPr>
          <w:p>
            <w:r>
              <w:rPr>
                <w:rFonts w:ascii="Calibri" w:hAnsi="Calibri"/>
                <w:sz w:val="22"/>
              </w:rPr>
              <w:t>−50 bps</w:t>
            </w:r>
          </w:p>
        </w:tc>
        <w:tc>
          <w:tcPr>
            <w:tcW w:type="dxa" w:w="1440"/>
          </w:tcPr>
          <w:p>
            <w:r>
              <w:rPr>
                <w:rFonts w:ascii="Calibri" w:hAnsi="Calibri"/>
                <w:sz w:val="22"/>
              </w:rPr>
              <w:t>Meaningful deceleration from Q1; slightly negative in April</w:t>
            </w:r>
          </w:p>
        </w:tc>
        <w:tc>
          <w:tcPr>
            <w:tcW w:type="dxa" w:w="1440"/>
          </w:tcPr>
          <w:p>
            <w:r>
              <w:rPr>
                <w:rFonts w:ascii="Calibri" w:hAnsi="Calibri"/>
                <w:sz w:val="22"/>
              </w:rPr>
              <w:t>In line with guidance</w:t>
            </w:r>
          </w:p>
        </w:tc>
      </w:tr>
      <w:tr>
        <w:tc>
          <w:tcPr>
            <w:tcW w:type="dxa" w:w="1440"/>
          </w:tcPr>
          <w:p>
            <w:r>
              <w:rPr>
                <w:rFonts w:ascii="Calibri" w:hAnsi="Calibri"/>
                <w:sz w:val="22"/>
              </w:rPr>
              <w:t>IOM Comp Sales — Q2 2026</w:t>
            </w:r>
          </w:p>
        </w:tc>
        <w:tc>
          <w:tcPr>
            <w:tcW w:type="dxa" w:w="1440"/>
          </w:tcPr>
          <w:p>
            <w:r>
              <w:rPr>
                <w:rFonts w:ascii="Calibri" w:hAnsi="Calibri"/>
                <w:sz w:val="22"/>
              </w:rPr>
              <w:t>+1.47%</w:t>
            </w:r>
          </w:p>
        </w:tc>
        <w:tc>
          <w:tcPr>
            <w:tcW w:type="dxa" w:w="1440"/>
          </w:tcPr>
          <w:p>
            <w:r>
              <w:rPr>
                <w:rFonts w:ascii="Calibri" w:hAnsi="Calibri"/>
                <w:sz w:val="22"/>
              </w:rPr>
              <w:t>+1.47%</w:t>
            </w:r>
          </w:p>
        </w:tc>
        <w:tc>
          <w:tcPr>
            <w:tcW w:type="dxa" w:w="1440"/>
          </w:tcPr>
          <w:p>
            <w:r>
              <w:rPr>
                <w:rFonts w:ascii="Calibri" w:hAnsi="Calibri"/>
                <w:sz w:val="22"/>
              </w:rPr>
              <w:t>0 bps</w:t>
            </w:r>
          </w:p>
        </w:tc>
        <w:tc>
          <w:tcPr>
            <w:tcW w:type="dxa" w:w="1440"/>
          </w:tcPr>
          <w:p>
            <w:r>
              <w:rPr>
                <w:rFonts w:ascii="Calibri" w:hAnsi="Calibri"/>
                <w:sz w:val="22"/>
              </w:rPr>
              <w:t>Meaningful deceleration from Q1; slightly negative in April</w:t>
            </w:r>
          </w:p>
        </w:tc>
        <w:tc>
          <w:tcPr>
            <w:tcW w:type="dxa" w:w="1440"/>
          </w:tcPr>
          <w:p>
            <w:r>
              <w:rPr>
                <w:rFonts w:ascii="Calibri" w:hAnsi="Calibri"/>
                <w:sz w:val="22"/>
              </w:rPr>
              <w:t>In line with guidance</w:t>
            </w:r>
          </w:p>
        </w:tc>
      </w:tr>
      <w:tr>
        <w:tc>
          <w:tcPr>
            <w:tcW w:type="dxa" w:w="1440"/>
          </w:tcPr>
          <w:p>
            <w:r>
              <w:rPr>
                <w:rFonts w:ascii="Calibri" w:hAnsi="Calibri"/>
                <w:sz w:val="22"/>
              </w:rPr>
              <w:t>U.S. Comp Sales — FY 2026</w:t>
            </w:r>
          </w:p>
        </w:tc>
        <w:tc>
          <w:tcPr>
            <w:tcW w:type="dxa" w:w="1440"/>
          </w:tcPr>
          <w:p>
            <w:r>
              <w:rPr>
                <w:rFonts w:ascii="Calibri" w:hAnsi="Calibri"/>
                <w:sz w:val="22"/>
              </w:rPr>
              <w:t>+2.22%</w:t>
            </w:r>
          </w:p>
        </w:tc>
        <w:tc>
          <w:tcPr>
            <w:tcW w:type="dxa" w:w="1440"/>
          </w:tcPr>
          <w:p>
            <w:r>
              <w:rPr>
                <w:rFonts w:ascii="Calibri" w:hAnsi="Calibri"/>
                <w:sz w:val="22"/>
              </w:rPr>
              <w:t>+1.95%</w:t>
            </w:r>
          </w:p>
        </w:tc>
        <w:tc>
          <w:tcPr>
            <w:tcW w:type="dxa" w:w="1440"/>
          </w:tcPr>
          <w:p>
            <w:r>
              <w:rPr>
                <w:rFonts w:ascii="Calibri" w:hAnsi="Calibri"/>
                <w:sz w:val="22"/>
              </w:rPr>
              <w:t>−27 bps</w:t>
            </w:r>
          </w:p>
        </w:tc>
        <w:tc>
          <w:tcPr>
            <w:tcW w:type="dxa" w:w="1440"/>
          </w:tcPr>
          <w:p>
            <w:r>
              <w:rPr>
                <w:rFonts w:ascii="Calibri" w:hAnsi="Calibri"/>
                <w:sz w:val="22"/>
              </w:rPr>
              <w:t>FY targets reaffirmed</w:t>
            </w:r>
          </w:p>
        </w:tc>
        <w:tc>
          <w:tcPr>
            <w:tcW w:type="dxa" w:w="1440"/>
          </w:tcPr>
          <w:p>
            <w:r>
              <w:rPr>
                <w:rFonts w:ascii="Calibri" w:hAnsi="Calibri"/>
                <w:sz w:val="22"/>
              </w:rPr>
              <w:t>Slight downward drift</w:t>
            </w:r>
          </w:p>
        </w:tc>
      </w:tr>
      <w:tr>
        <w:tc>
          <w:tcPr>
            <w:tcW w:type="dxa" w:w="1440"/>
          </w:tcPr>
          <w:p>
            <w:r>
              <w:rPr>
                <w:rFonts w:ascii="Calibri" w:hAnsi="Calibri"/>
                <w:sz w:val="22"/>
              </w:rPr>
              <w:t>System-Wide Sales — Q2 2026</w:t>
            </w:r>
          </w:p>
        </w:tc>
        <w:tc>
          <w:tcPr>
            <w:tcW w:type="dxa" w:w="1440"/>
          </w:tcPr>
          <w:p>
            <w:r>
              <w:rPr>
                <w:rFonts w:ascii="Calibri" w:hAnsi="Calibri"/>
                <w:sz w:val="22"/>
              </w:rPr>
              <w:t>$37.3B</w:t>
            </w:r>
          </w:p>
        </w:tc>
        <w:tc>
          <w:tcPr>
            <w:tcW w:type="dxa" w:w="1440"/>
          </w:tcPr>
          <w:p>
            <w:r>
              <w:rPr>
                <w:rFonts w:ascii="Calibri" w:hAnsi="Calibri"/>
                <w:sz w:val="22"/>
              </w:rPr>
              <w:t>$37.2B</w:t>
            </w:r>
          </w:p>
        </w:tc>
        <w:tc>
          <w:tcPr>
            <w:tcW w:type="dxa" w:w="1440"/>
          </w:tcPr>
          <w:p>
            <w:r>
              <w:rPr>
                <w:rFonts w:ascii="Calibri" w:hAnsi="Calibri"/>
                <w:sz w:val="22"/>
              </w:rPr>
              <w:t>−0.4%</w:t>
            </w:r>
          </w:p>
        </w:tc>
        <w:tc>
          <w:tcPr>
            <w:tcW w:type="dxa" w:w="1440"/>
          </w:tcPr>
          <w:p>
            <w:r>
              <w:rPr>
                <w:rFonts w:ascii="Calibri" w:hAnsi="Calibri"/>
                <w:sz w:val="22"/>
              </w:rPr>
              <w:t>No Q2 guidance</w:t>
            </w:r>
          </w:p>
        </w:tc>
        <w:tc>
          <w:tcPr>
            <w:tcW w:type="dxa" w:w="1440"/>
          </w:tcPr>
          <w:p>
            <w:r>
              <w:rPr>
                <w:rFonts w:ascii="Calibri" w:hAnsi="Calibri"/>
                <w:sz w:val="22"/>
              </w:rPr>
              <w:t>N/A</w:t>
            </w:r>
          </w:p>
        </w:tc>
      </w:tr>
    </w:tbl>
    <w:p>
      <w:r>
        <w:rPr>
          <w:rFonts w:ascii="Calibri" w:hAnsi="Calibri"/>
          <w:color w:val="525866"/>
          <w:sz w:val="22"/>
        </w:rPr>
        <w:t>The modest downward drift in U.S. comp estimates (from +1.26% to +0.76% post-print) reflects the market absorbing the Minecraft lap headwind and the late-July QSR industry food safety noise (Cyclospora/Taco Bell), but the magnitude of revision is small and directionally consistent with management's own guidance. EPS estimates are essentially unchanged, suggesting the FX tailwind is providing an offsetting cushion.</w:t>
      </w:r>
    </w:p>
    <w:p>
      <w:r>
        <w:rPr>
          <w:rFonts w:ascii="Calibri" w:hAnsi="Calibri"/>
          <w:i/>
          <w:color w:val="525866"/>
          <w:sz w:val="22"/>
        </w:rPr>
        <w:t>Source: Visible Alpha Consensus and Actuals Data. Baseline as of May 12, 2026 (5 trading days post Q1 2026 earnings).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MCD has underperformed all QSR peers since Q1 earnings, down ~6.5% vs. QSR (−7.8%), YUM (−5.4%), and SBUX (−0.9%), driven by multiple analyst price target cuts and a new 52-week low in mid-July — the stock is pricing in a soft print, which paradoxically lowers the bar for a positive surprise.</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MCD vs. QSR Peers — Indexed Price Since Q1 2026 Earnings (May 7, 2026). Source: Stock Price Data.</w:t>
      </w:r>
    </w:p>
    <w:p>
      <w:r>
        <w:rPr>
          <w:rFonts w:ascii="Calibri" w:hAnsi="Calibri"/>
          <w:color w:val="525866"/>
          <w:sz w:val="22"/>
        </w:rPr>
        <w:t>MCD closed at $265.23 on August 4, 2026, down approximately 6.5% from the Q1 earnings date close of $283.70. The underperformance is notable relative to peers: QSR (Restaurant Brands) is down ~7.8%, YUM is down ~5.4%, and SBUX is down only ~0.9% over the same period. The stock hit a new 52-week low of $264.09 on July 15, 2026, the same day Citigroup cut its price target from $375 to $335 (maintaining Buy) and Morgan Stanley lowered its target from $331 to $322 (Equal Weight). The de-rating has been driven by multiple compression rather than estimate cuts — EPS estimates are essentially flat since the Q1 print — suggesting the market is questioning the durability of the recovery narrative and the timeline for U.S. company-operated margin improvement. The stock now trades at approximately 20x forward EPS ($12.91 consensus), below its historical mid-to-high 20s range, which could represent an attractive entry point if Q2 results confirm the two-year stack acceleration thesis. The sector ETF used for comparison is the QSR peer basket (QSR, YUM, SBUX), which is the most relevant sub-sector peer group for McDonald's as a global QSR franchisor.</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wave of analyst price target cuts in June–July 2026 that drove MCD to a 52-week low, combined with the mid-July QSR industry food safety issue (Cyclospora/Taco Bell) that introduces a late-quarter U.S. comp headwind not yet fully priced in.</w:t>
      </w:r>
    </w:p>
    <w:p>
      <w:pPr>
        <w:pStyle w:val="ListBullet"/>
        <w:ind w:left="360" w:hanging="360"/>
      </w:pPr>
      <w:r>
        <w:rPr>
          <w:rFonts w:ascii="Calibri" w:hAnsi="Calibri"/>
          <w:b/>
          <w:color w:val="525866"/>
          <w:sz w:val="22"/>
        </w:rPr>
        <w:t>May 7, 2026 — Q1 2026 Earnings Beat:</w:t>
      </w:r>
      <w:r>
        <w:rPr>
          <w:rFonts w:ascii="Calibri" w:hAnsi="Calibri"/>
          <w:color w:val="525866"/>
          <w:sz w:val="22"/>
        </w:rPr>
        <w:t xml:space="preserve"> MCD reported Q1 2026 Operating EPS of $2.83 (beat consensus of $2.74 by $0.09 / +3.3%) and revenue of $6.52B (+9.4% YoY). Global comparable sales grew 3.8% with solid growth across all three segments. Stock rose in pre-market. </w:t>
      </w:r>
      <w:r>
        <w:rPr>
          <w:rFonts w:ascii="Calibri" w:hAnsi="Calibri"/>
          <w:i/>
          <w:color w:val="525866"/>
          <w:sz w:val="22"/>
        </w:rPr>
        <w:t>Implication:</w:t>
      </w:r>
      <w:r>
        <w:rPr>
          <w:rFonts w:ascii="Calibri" w:hAnsi="Calibri"/>
          <w:i/>
          <w:color w:val="525866"/>
          <w:sz w:val="22"/>
        </w:rPr>
        <w:t xml:space="preserve"> Sets a clean baseline; management reaffirmed all FY 2026 targets.</w:t>
      </w:r>
    </w:p>
    <w:p>
      <w:pPr>
        <w:pStyle w:val="ListBullet"/>
        <w:ind w:left="360" w:hanging="360"/>
      </w:pPr>
      <w:r>
        <w:rPr>
          <w:rFonts w:ascii="Calibri" w:hAnsi="Calibri"/>
          <w:b/>
          <w:color w:val="525866"/>
          <w:sz w:val="22"/>
        </w:rPr>
        <w:t>May 7, 2026 — McValue 2.0 Relaunch (mid-April):</w:t>
      </w:r>
      <w:r>
        <w:rPr>
          <w:rFonts w:ascii="Calibri" w:hAnsi="Calibri"/>
          <w:color w:val="525866"/>
          <w:sz w:val="22"/>
        </w:rPr>
        <w:t xml:space="preserve"> McDonald's relaunched its McValue platform with an under-$3 everyday menu and a $4 breakfast meal deal, with unanimous franchisee alignment. National beverage platform (McCafé refreshers and crafted sodas) launched at all U.S. restaurants. </w:t>
      </w:r>
      <w:r>
        <w:rPr>
          <w:rFonts w:ascii="Calibri" w:hAnsi="Calibri"/>
          <w:i/>
          <w:color w:val="525866"/>
          <w:sz w:val="22"/>
        </w:rPr>
        <w:t>Implication:</w:t>
      </w:r>
      <w:r>
        <w:rPr>
          <w:rFonts w:ascii="Calibri" w:hAnsi="Calibri"/>
          <w:i/>
          <w:color w:val="525866"/>
          <w:sz w:val="22"/>
        </w:rPr>
        <w:t xml:space="preserve"> Key incremental traffic drivers for Q2; early results described as encouraging.</w:t>
      </w:r>
    </w:p>
    <w:p>
      <w:pPr>
        <w:pStyle w:val="ListBullet"/>
        <w:ind w:left="360" w:hanging="360"/>
      </w:pPr>
      <w:r>
        <w:rPr>
          <w:rFonts w:ascii="Calibri" w:hAnsi="Calibri"/>
          <w:b/>
          <w:color w:val="525866"/>
          <w:sz w:val="22"/>
        </w:rPr>
        <w:t>May 8, 2026 — Analyst Reactions Post-Q1:</w:t>
      </w:r>
      <w:r>
        <w:rPr>
          <w:rFonts w:ascii="Calibri" w:hAnsi="Calibri"/>
          <w:color w:val="525866"/>
          <w:sz w:val="22"/>
        </w:rPr>
        <w:t xml:space="preserve"> Barclays cut PT from $380 to $350 (Overweight); CFRA upgraded to Buy; Robert W. Baird set $305 PT. </w:t>
      </w:r>
      <w:r>
        <w:rPr>
          <w:rFonts w:ascii="Calibri" w:hAnsi="Calibri"/>
          <w:i/>
          <w:color w:val="525866"/>
          <w:sz w:val="22"/>
        </w:rPr>
        <w:t>Implication:</w:t>
      </w:r>
      <w:r>
        <w:rPr>
          <w:rFonts w:ascii="Calibri" w:hAnsi="Calibri"/>
          <w:i/>
          <w:color w:val="525866"/>
          <w:sz w:val="22"/>
        </w:rPr>
        <w:t xml:space="preserve"> Mixed post-print sentiment; Baird's $305 target signals meaningful downside risk in bear case.</w:t>
      </w:r>
    </w:p>
    <w:p>
      <w:pPr>
        <w:pStyle w:val="ListBullet"/>
        <w:ind w:left="360" w:hanging="360"/>
      </w:pPr>
      <w:r>
        <w:rPr>
          <w:rFonts w:ascii="Calibri" w:hAnsi="Calibri"/>
          <w:b/>
          <w:color w:val="525866"/>
          <w:sz w:val="22"/>
        </w:rPr>
        <w:t>May 26–28, 2026 — Insider Sales:</w:t>
      </w:r>
      <w:r>
        <w:rPr>
          <w:rFonts w:ascii="Calibri" w:hAnsi="Calibri"/>
          <w:color w:val="525866"/>
          <w:sz w:val="22"/>
        </w:rPr>
        <w:t xml:space="preserve"> President of McDonald's USA Joseph Erlinger sold 333 shares on May 26 (10b5-1 plan); EVP/Chief Legal Officer Desiree Ralls-Morrison sold 2,763 shares on May 28 (10b5-1 plan). </w:t>
      </w:r>
      <w:r>
        <w:rPr>
          <w:rFonts w:ascii="Calibri" w:hAnsi="Calibri"/>
          <w:i/>
          <w:color w:val="525866"/>
          <w:sz w:val="22"/>
        </w:rPr>
        <w:t>Implication:</w:t>
      </w:r>
      <w:r>
        <w:rPr>
          <w:rFonts w:ascii="Calibri" w:hAnsi="Calibri"/>
          <w:i/>
          <w:color w:val="525866"/>
          <w:sz w:val="22"/>
        </w:rPr>
        <w:t xml:space="preserve"> Both are pre-planned 10b5-1 sales; not a discretionary signal.</w:t>
      </w:r>
    </w:p>
    <w:p>
      <w:pPr>
        <w:pStyle w:val="ListBullet"/>
        <w:ind w:left="360" w:hanging="360"/>
      </w:pPr>
      <w:r>
        <w:rPr>
          <w:rFonts w:ascii="Calibri" w:hAnsi="Calibri"/>
          <w:b/>
          <w:color w:val="525866"/>
          <w:sz w:val="22"/>
        </w:rPr>
        <w:t>June 10, 2026 — Erlinger Option Exercise &amp; Sale:</w:t>
      </w:r>
      <w:r>
        <w:rPr>
          <w:rFonts w:ascii="Calibri" w:hAnsi="Calibri"/>
          <w:color w:val="525866"/>
          <w:sz w:val="22"/>
        </w:rPr>
        <w:t xml:space="preserve"> Joseph Erlinger (President, McDonald's USA) exercised 5,252 options and sold 5,252 shares on the same day (10b5-1 plan). </w:t>
      </w:r>
      <w:r>
        <w:rPr>
          <w:rFonts w:ascii="Calibri" w:hAnsi="Calibri"/>
          <w:i/>
          <w:color w:val="525866"/>
          <w:sz w:val="22"/>
        </w:rPr>
        <w:t>Implication:</w:t>
      </w:r>
      <w:r>
        <w:rPr>
          <w:rFonts w:ascii="Calibri" w:hAnsi="Calibri"/>
          <w:i/>
          <w:color w:val="525866"/>
          <w:sz w:val="22"/>
        </w:rPr>
        <w:t xml:space="preserve"> Routine option exercise; no discretionary signal.</w:t>
      </w:r>
    </w:p>
    <w:p>
      <w:pPr>
        <w:pStyle w:val="ListBullet"/>
        <w:ind w:left="360" w:hanging="360"/>
      </w:pPr>
      <w:r>
        <w:rPr>
          <w:rFonts w:ascii="Calibri" w:hAnsi="Calibri"/>
          <w:b/>
          <w:color w:val="525866"/>
          <w:sz w:val="22"/>
        </w:rPr>
        <w:t>June 22–23, 2026 — Analyst Cautious Stances:</w:t>
      </w:r>
      <w:r>
        <w:rPr>
          <w:rFonts w:ascii="Calibri" w:hAnsi="Calibri"/>
          <w:color w:val="525866"/>
          <w:sz w:val="22"/>
        </w:rPr>
        <w:t xml:space="preserve"> Royal Bank of Canada reiterated Sector Perform; Sanford C. Bernstein reiterated Market Perform; Weiss Ratings downgraded from Hold (C+) to Hold (C). </w:t>
      </w:r>
      <w:r>
        <w:rPr>
          <w:rFonts w:ascii="Calibri" w:hAnsi="Calibri"/>
          <w:i/>
          <w:color w:val="525866"/>
          <w:sz w:val="22"/>
        </w:rPr>
        <w:t>Implication:</w:t>
      </w:r>
      <w:r>
        <w:rPr>
          <w:rFonts w:ascii="Calibri" w:hAnsi="Calibri"/>
          <w:i/>
          <w:color w:val="525866"/>
          <w:sz w:val="22"/>
        </w:rPr>
        <w:t xml:space="preserve"> Growing analyst caution ahead of Q2; no positive catalysts identified.</w:t>
      </w:r>
    </w:p>
    <w:p>
      <w:pPr>
        <w:pStyle w:val="ListBullet"/>
        <w:ind w:left="360" w:hanging="360"/>
      </w:pPr>
      <w:r>
        <w:rPr>
          <w:rFonts w:ascii="Calibri" w:hAnsi="Calibri"/>
          <w:b/>
          <w:color w:val="525866"/>
          <w:sz w:val="22"/>
        </w:rPr>
        <w:t>July 9, 2026 — Deutsche Bank PT:</w:t>
      </w:r>
      <w:r>
        <w:rPr>
          <w:rFonts w:ascii="Calibri" w:hAnsi="Calibri"/>
          <w:color w:val="525866"/>
          <w:sz w:val="22"/>
        </w:rPr>
        <w:t xml:space="preserve"> Deutsche Bank set a $325 price target on MCD. </w:t>
      </w:r>
      <w:r>
        <w:rPr>
          <w:rFonts w:ascii="Calibri" w:hAnsi="Calibri"/>
          <w:i/>
          <w:color w:val="525866"/>
          <w:sz w:val="22"/>
        </w:rPr>
        <w:t>Implication:</w:t>
      </w:r>
      <w:r>
        <w:rPr>
          <w:rFonts w:ascii="Calibri" w:hAnsi="Calibri"/>
          <w:i/>
          <w:color w:val="525866"/>
          <w:sz w:val="22"/>
        </w:rPr>
        <w:t xml:space="preserve"> Below-consensus target signals limited near-term upside in DB's view.</w:t>
      </w:r>
    </w:p>
    <w:p>
      <w:pPr>
        <w:pStyle w:val="ListBullet"/>
        <w:ind w:left="360" w:hanging="360"/>
      </w:pPr>
      <w:r>
        <w:rPr>
          <w:rFonts w:ascii="Calibri" w:hAnsi="Calibri"/>
          <w:b/>
          <w:color w:val="525866"/>
          <w:sz w:val="22"/>
        </w:rPr>
        <w:t>July 15, 2026 — 52-Week Low &amp; Multiple PT Cuts:</w:t>
      </w:r>
      <w:r>
        <w:rPr>
          <w:rFonts w:ascii="Calibri" w:hAnsi="Calibri"/>
          <w:color w:val="525866"/>
          <w:sz w:val="22"/>
        </w:rPr>
        <w:t xml:space="preserve"> MCD hit a new 52-week low of $264.09. Citigroup cut PT from $375 to $335 (Buy maintained); Morgan Stanley cut PT from $331 to $322 (Equal Weight); KeyCorp reiterated Overweight. </w:t>
      </w:r>
      <w:r>
        <w:rPr>
          <w:rFonts w:ascii="Calibri" w:hAnsi="Calibri"/>
          <w:i/>
          <w:color w:val="525866"/>
          <w:sz w:val="22"/>
        </w:rPr>
        <w:t>Implication:</w:t>
      </w:r>
      <w:r>
        <w:rPr>
          <w:rFonts w:ascii="Calibri" w:hAnsi="Calibri"/>
          <w:i/>
          <w:color w:val="525866"/>
          <w:sz w:val="22"/>
        </w:rPr>
        <w:t xml:space="preserve"> Significant de-rating event; stock now pricing in a soft Q2 print.</w:t>
      </w:r>
    </w:p>
    <w:p>
      <w:pPr>
        <w:pStyle w:val="ListBullet"/>
        <w:ind w:left="360" w:hanging="360"/>
      </w:pPr>
      <w:r>
        <w:rPr>
          <w:rFonts w:ascii="Calibri" w:hAnsi="Calibri"/>
          <w:b/>
          <w:color w:val="525866"/>
          <w:sz w:val="22"/>
        </w:rPr>
        <w:t>Mid-July 2026 — QSR Industry Food Safety Issue (Cyclospora/Taco Bell):</w:t>
      </w:r>
      <w:r>
        <w:rPr>
          <w:rFonts w:ascii="Calibri" w:hAnsi="Calibri"/>
          <w:color w:val="525866"/>
          <w:sz w:val="22"/>
        </w:rPr>
        <w:t xml:space="preserve"> A food safety issue (Cyclospora) emerged affecting the broader QSR industry, with Taco Bell (YUM) reporting U.S. same-store sales of −2% quarter-to-date through July 27. CMG also flagged ~200 bps of softening in the second half of July from heightened consumer caution. MCD is not implicated in the Cyclospora issue. </w:t>
      </w:r>
      <w:r>
        <w:rPr>
          <w:rFonts w:ascii="Calibri" w:hAnsi="Calibri"/>
          <w:i/>
          <w:color w:val="525866"/>
          <w:sz w:val="22"/>
        </w:rPr>
        <w:t>Implication:</w:t>
      </w:r>
      <w:r>
        <w:rPr>
          <w:rFonts w:ascii="Calibri" w:hAnsi="Calibri"/>
          <w:i/>
          <w:color w:val="525866"/>
          <w:sz w:val="22"/>
        </w:rPr>
        <w:t xml:space="preserve"> Broad QSR traffic softness in late July could weigh on MCD's Q2 U.S. comp; a modest incremental headwind not yet fully reflected in consensus.</w:t>
      </w:r>
    </w:p>
    <w:p>
      <w:pPr>
        <w:pStyle w:val="ListBullet"/>
        <w:ind w:left="360" w:hanging="360"/>
      </w:pPr>
      <w:r>
        <w:rPr>
          <w:rFonts w:ascii="Calibri" w:hAnsi="Calibri"/>
          <w:b/>
          <w:color w:val="525866"/>
          <w:sz w:val="22"/>
        </w:rPr>
        <w:t>July 17, 2026 — Tigress Financial PT Raise:</w:t>
      </w:r>
      <w:r>
        <w:rPr>
          <w:rFonts w:ascii="Calibri" w:hAnsi="Calibri"/>
          <w:color w:val="525866"/>
          <w:sz w:val="22"/>
        </w:rPr>
        <w:t xml:space="preserve"> Tigress Financial raised PT from $385 to $390 (Buy). </w:t>
      </w:r>
      <w:r>
        <w:rPr>
          <w:rFonts w:ascii="Calibri" w:hAnsi="Calibri"/>
          <w:i/>
          <w:color w:val="525866"/>
          <w:sz w:val="22"/>
        </w:rPr>
        <w:t>Implication:</w:t>
      </w:r>
      <w:r>
        <w:rPr>
          <w:rFonts w:ascii="Calibri" w:hAnsi="Calibri"/>
          <w:i/>
          <w:color w:val="525866"/>
          <w:sz w:val="22"/>
        </w:rPr>
        <w:t xml:space="preserve"> Contrarian bullish view; sees the selloff as an overreaction.</w:t>
      </w:r>
    </w:p>
    <w:p>
      <w:pPr>
        <w:pStyle w:val="ListBullet"/>
        <w:ind w:left="360" w:hanging="360"/>
      </w:pPr>
      <w:r>
        <w:rPr>
          <w:rFonts w:ascii="Calibri" w:hAnsi="Calibri"/>
          <w:b/>
          <w:color w:val="525866"/>
          <w:sz w:val="22"/>
        </w:rPr>
        <w:t>July 27, 2026 — UBS PT Cut:</w:t>
      </w:r>
      <w:r>
        <w:rPr>
          <w:rFonts w:ascii="Calibri" w:hAnsi="Calibri"/>
          <w:color w:val="525866"/>
          <w:sz w:val="22"/>
        </w:rPr>
        <w:t xml:space="preserve"> UBS cut PT from $365 to $340 (Buy maintained). </w:t>
      </w:r>
      <w:r>
        <w:rPr>
          <w:rFonts w:ascii="Calibri" w:hAnsi="Calibri"/>
          <w:i/>
          <w:color w:val="525866"/>
          <w:sz w:val="22"/>
        </w:rPr>
        <w:t>Implication:</w:t>
      </w:r>
      <w:r>
        <w:rPr>
          <w:rFonts w:ascii="Calibri" w:hAnsi="Calibri"/>
          <w:i/>
          <w:color w:val="525866"/>
          <w:sz w:val="22"/>
        </w:rPr>
        <w:t xml:space="preserve"> Continued downward PT revision trend; consensus PT now ~$332–$334.</w:t>
      </w:r>
    </w:p>
    <w:p>
      <w:pPr>
        <w:pStyle w:val="ListBullet"/>
        <w:ind w:left="360" w:hanging="360"/>
      </w:pPr>
      <w:r>
        <w:rPr>
          <w:rFonts w:ascii="Calibri" w:hAnsi="Calibri"/>
          <w:b/>
          <w:color w:val="525866"/>
          <w:sz w:val="22"/>
        </w:rPr>
        <w:t>July 31, 2026 — Mizuho PT Cut:</w:t>
      </w:r>
      <w:r>
        <w:rPr>
          <w:rFonts w:ascii="Calibri" w:hAnsi="Calibri"/>
          <w:color w:val="525866"/>
          <w:sz w:val="22"/>
        </w:rPr>
        <w:t xml:space="preserve"> Mizuho cut PT from $300 to $290 (Neutral). MCD declared a quarterly dividend of $1.86/share. </w:t>
      </w:r>
      <w:r>
        <w:rPr>
          <w:rFonts w:ascii="Calibri" w:hAnsi="Calibri"/>
          <w:i/>
          <w:color w:val="525866"/>
          <w:sz w:val="22"/>
        </w:rPr>
        <w:t>Implication:</w:t>
      </w:r>
      <w:r>
        <w:rPr>
          <w:rFonts w:ascii="Calibri" w:hAnsi="Calibri"/>
          <w:i/>
          <w:color w:val="525866"/>
          <w:sz w:val="22"/>
        </w:rPr>
        <w:t xml:space="preserve"> Dividend declaration reinforces income appeal at current levels; Mizuho's $290 target is the most bearish on the street.</w:t>
      </w:r>
    </w:p>
    <w:p>
      <w:pPr>
        <w:pStyle w:val="ListBullet"/>
        <w:ind w:left="360" w:hanging="360"/>
      </w:pPr>
      <w:r>
        <w:rPr>
          <w:rFonts w:ascii="Calibri" w:hAnsi="Calibri"/>
          <w:b/>
          <w:color w:val="525866"/>
          <w:sz w:val="22"/>
        </w:rPr>
        <w:t>Late July 2026 — Oppenheimer Upgrade:</w:t>
      </w:r>
      <w:r>
        <w:rPr>
          <w:rFonts w:ascii="Calibri" w:hAnsi="Calibri"/>
          <w:color w:val="525866"/>
          <w:sz w:val="22"/>
        </w:rPr>
        <w:t xml:space="preserve"> Oppenheimer upgraded MCD to Outperform with a $355 price target. </w:t>
      </w:r>
      <w:r>
        <w:rPr>
          <w:rFonts w:ascii="Calibri" w:hAnsi="Calibri"/>
          <w:i/>
          <w:color w:val="525866"/>
          <w:sz w:val="22"/>
        </w:rPr>
        <w:t>Implication:</w:t>
      </w:r>
      <w:r>
        <w:rPr>
          <w:rFonts w:ascii="Calibri" w:hAnsi="Calibri"/>
          <w:i/>
          <w:color w:val="525866"/>
          <w:sz w:val="22"/>
        </w:rPr>
        <w:t xml:space="preserve"> Sees the selloff as overdone; potential positive catalyst ahead of earnings.</w:t>
      </w:r>
    </w:p>
    <w:p>
      <w:r>
        <w:br w:type="page"/>
      </w:r>
    </w:p>
    <w:p>
      <w:pPr>
        <w:pStyle w:val="Heading2"/>
      </w:pPr>
      <w:r>
        <w:rPr>
          <w:rFonts w:ascii="Calibri" w:hAnsi="Calibri"/>
          <w:b/>
          <w:color w:val="3B4259"/>
          <w:sz w:val="28"/>
        </w:rPr>
        <w:t>7. Peer Commentaries — Q2 2026 Read-Throughs</w:t>
      </w:r>
    </w:p>
    <w:p>
      <w:r>
        <w:rPr>
          <w:rFonts w:ascii="Calibri" w:hAnsi="Calibri"/>
          <w:b/>
          <w:color w:val="525866"/>
          <w:sz w:val="22"/>
        </w:rPr>
        <w:t xml:space="preserve">Key Takeaway: </w:t>
      </w:r>
      <w:r>
        <w:rPr>
          <w:rFonts w:ascii="Calibri" w:hAnsi="Calibri"/>
          <w:color w:val="525866"/>
          <w:sz w:val="22"/>
        </w:rPr>
        <w:t>Peer Q2 2026 earnings calls paint a nuanced picture for MCD: the QSR industry is navigating flat-to-soft order counts and a challenging macro, but value-focused brands with strong digital ecosystems (Taco Bell, KFC) are gaining share — and the late-July Cyclospora/food safety industry issue introduces a meaningful near-term traffic headwind that could weigh on MCD's Q2 U.S. comp. The SBUX turnaround (7.9% U.S. comp in Q3 FY2026) is a positive read-through for the power of value and digital re-engagement, but also signals that MCD faces a more competitive beverage category.</w:t>
      </w:r>
    </w:p>
    <w:p>
      <w:pPr>
        <w:pStyle w:val="Heading3"/>
      </w:pPr>
      <w:r>
        <w:rPr>
          <w:rFonts w:ascii="Calibri" w:hAnsi="Calibri"/>
          <w:b/>
          <w:color w:val="3B4259"/>
          <w:sz w:val="24"/>
        </w:rPr>
        <w:t>Yum! Brands (YUM) — Q2 2026 Earnings Call (July 30, 2026)</w:t>
      </w:r>
    </w:p>
    <w:p>
      <w:r>
        <w:rPr>
          <w:rFonts w:ascii="Calibri" w:hAnsi="Calibri"/>
          <w:b/>
          <w:color w:val="525866"/>
          <w:sz w:val="22"/>
        </w:rPr>
        <w:t xml:space="preserve">Relevance: </w:t>
      </w:r>
      <w:r>
        <w:rPr>
          <w:rFonts w:ascii="Calibri" w:hAnsi="Calibri"/>
          <w:color w:val="525866"/>
          <w:sz w:val="22"/>
        </w:rPr>
        <w:t>YUM is MCD's closest global QSR peer, with Taco Bell and KFC competing directly for QSR traffic in the U.S. and internationally. The Taco Bell food safety issue is the most directly relevant read-through for MCD's Q2 U.S. comp.</w:t>
      </w:r>
    </w:p>
    <w:p>
      <w:pPr>
        <w:pStyle w:val="ListBullet"/>
        <w:ind w:left="360" w:hanging="360"/>
      </w:pPr>
      <w:r>
        <w:rPr>
          <w:rFonts w:ascii="Calibri" w:hAnsi="Calibri"/>
          <w:b/>
          <w:color w:val="525866"/>
          <w:sz w:val="22"/>
        </w:rPr>
        <w:t>QSR Industry Order Counts Flat in Q2:</w:t>
      </w:r>
      <w:r>
        <w:rPr>
          <w:rFonts w:ascii="Calibri" w:hAnsi="Calibri"/>
          <w:color w:val="525866"/>
          <w:sz w:val="22"/>
        </w:rPr>
        <w:t xml:space="preserve"> YUM management stated that "QSR order counts were flat" in Q2 2026 amid macroeconomic uncertainty. Despite this, Taco Bell delivered +7% same-store sales growth for the quarter, meaningfully outperforming the QSR industry for the ninth consecutive quarter. </w:t>
      </w:r>
      <w:r>
        <w:rPr>
          <w:rFonts w:ascii="Calibri" w:hAnsi="Calibri"/>
          <w:i/>
          <w:color w:val="525866"/>
          <w:sz w:val="22"/>
        </w:rPr>
        <w:t>MCD Read-Through:</w:t>
      </w:r>
      <w:r>
        <w:rPr>
          <w:rFonts w:ascii="Calibri" w:hAnsi="Calibri"/>
          <w:i/>
          <w:color w:val="525866"/>
          <w:sz w:val="22"/>
        </w:rPr>
        <w:t xml:space="preserve"> Flat QSR industry order counts are consistent with MCD's guided deceleration in Q2. MCD's value platform (McValue 2.0) and beverage launch are the key differentiators that could drive share gains even in a flat-traffic environment.</w:t>
      </w:r>
    </w:p>
    <w:p>
      <w:pPr>
        <w:pStyle w:val="ListBullet"/>
        <w:ind w:left="360" w:hanging="360"/>
      </w:pPr>
      <w:r>
        <w:rPr>
          <w:rFonts w:ascii="Calibri" w:hAnsi="Calibri"/>
          <w:b/>
          <w:color w:val="525866"/>
          <w:sz w:val="22"/>
        </w:rPr>
        <w:t>Taco Bell Food Safety Issue — Late July Impact:</w:t>
      </w:r>
      <w:r>
        <w:rPr>
          <w:rFonts w:ascii="Calibri" w:hAnsi="Calibri"/>
          <w:color w:val="525866"/>
          <w:sz w:val="22"/>
        </w:rPr>
        <w:t xml:space="preserve"> Taco Bell's U.S. same-store sales were −2% quarter-to-date through July 27 due to a Cyclospora food safety industry issue that emerged in mid-July. YUM noted that "elevated uncertainty initially weighed on consumer demand" and that consumers have become "increasingly aware that this is an industry-wide issue, not an issue specific to Taco Bell." Sales declines moderated materially in the subsequent week, with the brand "halfway back to sales levels of the prior year" by late July. </w:t>
      </w:r>
      <w:r>
        <w:rPr>
          <w:rFonts w:ascii="Calibri" w:hAnsi="Calibri"/>
          <w:i/>
          <w:color w:val="525866"/>
          <w:sz w:val="22"/>
        </w:rPr>
        <w:t>MCD Read-Through:</w:t>
      </w:r>
      <w:r>
        <w:rPr>
          <w:rFonts w:ascii="Calibri" w:hAnsi="Calibri"/>
          <w:i/>
          <w:color w:val="525866"/>
          <w:sz w:val="22"/>
        </w:rPr>
        <w:t xml:space="preserve"> This is the most important near-term read-through for MCD. While MCD is not implicated in the Cyclospora issue, broad QSR consumer caution in the second half of July could weigh on MCD's late-quarter U.S. comp. The magnitude of the impact is uncertain but could represent 50–100 bps of headwind to Q2 U.S. comp if consumer caution persisted through month-end.</w:t>
      </w:r>
    </w:p>
    <w:p>
      <w:pPr>
        <w:pStyle w:val="ListBullet"/>
        <w:ind w:left="360" w:hanging="360"/>
      </w:pPr>
      <w:r>
        <w:rPr>
          <w:rFonts w:ascii="Calibri" w:hAnsi="Calibri"/>
          <w:b/>
          <w:color w:val="525866"/>
          <w:sz w:val="22"/>
        </w:rPr>
        <w:t>KFC International Strength:</w:t>
      </w:r>
      <w:r>
        <w:rPr>
          <w:rFonts w:ascii="Calibri" w:hAnsi="Calibri"/>
          <w:color w:val="525866"/>
          <w:sz w:val="22"/>
        </w:rPr>
        <w:t xml:space="preserve"> KFC delivered +2% same-store sales growth globally, with the UK at +8%, Asia at +6%, Japan accelerating 8 points from Q1, and Korea delivering its sixth consecutive quarter of double-digit same-store sales growth. Brazil achieved over 20% same-store sales growth in each of the past three quarters. </w:t>
      </w:r>
      <w:r>
        <w:rPr>
          <w:rFonts w:ascii="Calibri" w:hAnsi="Calibri"/>
          <w:i/>
          <w:color w:val="525866"/>
          <w:sz w:val="22"/>
        </w:rPr>
        <w:t>MCD Read-Through:</w:t>
      </w:r>
      <w:r>
        <w:rPr>
          <w:rFonts w:ascii="Calibri" w:hAnsi="Calibri"/>
          <w:i/>
          <w:color w:val="525866"/>
          <w:sz w:val="22"/>
        </w:rPr>
        <w:t xml:space="preserve"> Strong international QSR performance in the UK, Germany, and Asia is a positive read-through for MCD's IOM segment, which has been driven by the same markets (UK, Germany, Australia). Consistent with MCD's Q1 IOM comp of +3.9%.</w:t>
      </w:r>
    </w:p>
    <w:p>
      <w:pPr>
        <w:pStyle w:val="ListBullet"/>
        <w:ind w:left="360" w:hanging="360"/>
      </w:pPr>
      <w:r>
        <w:rPr>
          <w:rFonts w:ascii="Calibri" w:hAnsi="Calibri"/>
          <w:b/>
          <w:color w:val="525866"/>
          <w:sz w:val="22"/>
        </w:rPr>
        <w:t>Value and Digital as Structural Advantages:</w:t>
      </w:r>
      <w:r>
        <w:rPr>
          <w:rFonts w:ascii="Calibri" w:hAnsi="Calibri"/>
          <w:color w:val="525866"/>
          <w:sz w:val="22"/>
        </w:rPr>
        <w:t xml:space="preserve"> Taco Bell's strategy of "compelling value, differentiated innovation, cultural relevance, and broadening consumer occasions" drove nine consecutive quarters of QSR outperformance. Digital sales (ex-Pizza Hut) exceeded $17B in H1 2026, up 25% YoY, with digital mix at 61%. </w:t>
      </w:r>
      <w:r>
        <w:rPr>
          <w:rFonts w:ascii="Calibri" w:hAnsi="Calibri"/>
          <w:i/>
          <w:color w:val="525866"/>
          <w:sz w:val="22"/>
        </w:rPr>
        <w:t>MCD Read-Through:</w:t>
      </w:r>
      <w:r>
        <w:rPr>
          <w:rFonts w:ascii="Calibri" w:hAnsi="Calibri"/>
          <w:i/>
          <w:color w:val="525866"/>
          <w:sz w:val="22"/>
        </w:rPr>
        <w:t xml:space="preserve"> Validates MCD's own strategy of value + digital + menu innovation. MCD's 210M loyalty users and McValue 2.0 platform are structurally aligned with the winning playbook.</w:t>
      </w:r>
    </w:p>
    <w:p>
      <w:pPr>
        <w:pStyle w:val="Heading3"/>
      </w:pPr>
      <w:r>
        <w:rPr>
          <w:rFonts w:ascii="Calibri" w:hAnsi="Calibri"/>
          <w:b/>
          <w:color w:val="3B4259"/>
          <w:sz w:val="24"/>
        </w:rPr>
        <w:t>Domino's Pizza (DPZ) — Q2 2026 Earnings Call (July 20, 2026)</w:t>
      </w:r>
    </w:p>
    <w:p>
      <w:r>
        <w:rPr>
          <w:rFonts w:ascii="Calibri" w:hAnsi="Calibri"/>
          <w:b/>
          <w:color w:val="525866"/>
          <w:sz w:val="22"/>
        </w:rPr>
        <w:t xml:space="preserve">Relevance: </w:t>
      </w:r>
      <w:r>
        <w:rPr>
          <w:rFonts w:ascii="Calibri" w:hAnsi="Calibri"/>
          <w:color w:val="525866"/>
          <w:sz w:val="22"/>
        </w:rPr>
        <w:t>DPZ is a bellwether for QSR consumer behavior, delivery trends, and franchisee health. Its commentary on flat QSR order counts and macro pressure is directly relevant to MCD's traffic outlook.</w:t>
      </w:r>
    </w:p>
    <w:p>
      <w:pPr>
        <w:pStyle w:val="ListBullet"/>
        <w:ind w:left="360" w:hanging="360"/>
      </w:pPr>
      <w:r>
        <w:rPr>
          <w:rFonts w:ascii="Calibri" w:hAnsi="Calibri"/>
          <w:b/>
          <w:color w:val="525866"/>
          <w:sz w:val="22"/>
        </w:rPr>
        <w:t>QSR Order Counts Flat; Macro Pressure Persists:</w:t>
      </w:r>
      <w:r>
        <w:rPr>
          <w:rFonts w:ascii="Calibri" w:hAnsi="Calibri"/>
          <w:color w:val="525866"/>
          <w:sz w:val="22"/>
        </w:rPr>
        <w:t xml:space="preserve"> DPZ confirmed that "QSR order counts were flat" in Q2 2026 amid macroeconomic uncertainty and heightened competition. The business was "impacted by a challenging macro environment, which is pressuring consumers." U.S. same-store sales grew only +0.1% in Q2, with carryout up +1.1% and delivery down −0.7%. </w:t>
      </w:r>
      <w:r>
        <w:rPr>
          <w:rFonts w:ascii="Calibri" w:hAnsi="Calibri"/>
          <w:i/>
          <w:color w:val="525866"/>
          <w:sz w:val="22"/>
        </w:rPr>
        <w:t>MCD Read-Through:</w:t>
      </w:r>
      <w:r>
        <w:rPr>
          <w:rFonts w:ascii="Calibri" w:hAnsi="Calibri"/>
          <w:i/>
          <w:color w:val="525866"/>
          <w:sz w:val="22"/>
        </w:rPr>
        <w:t xml:space="preserve"> Flat QSR order counts are consistent with MCD's guided deceleration. The delivery weakness at DPZ is a mild negative read-through for MCD's delivery channel, though MCD's value platform is more defensive.</w:t>
      </w:r>
    </w:p>
    <w:p>
      <w:pPr>
        <w:pStyle w:val="ListBullet"/>
        <w:ind w:left="360" w:hanging="360"/>
      </w:pPr>
      <w:r>
        <w:rPr>
          <w:rFonts w:ascii="Calibri" w:hAnsi="Calibri"/>
          <w:b/>
          <w:color w:val="525866"/>
          <w:sz w:val="22"/>
        </w:rPr>
        <w:t>Franchisee Profitability Under Pressure:</w:t>
      </w:r>
      <w:r>
        <w:rPr>
          <w:rFonts w:ascii="Calibri" w:hAnsi="Calibri"/>
          <w:color w:val="525866"/>
          <w:sz w:val="22"/>
        </w:rPr>
        <w:t xml:space="preserve"> DPZ noted that a ticket miss in Q2 had a "short-term impact on franchisee profitability" and that the macro environment is creating "some pressure on our pipeline." U.S. net store guidance was trimmed from "175+" to "approximately 175." </w:t>
      </w:r>
      <w:r>
        <w:rPr>
          <w:rFonts w:ascii="Calibri" w:hAnsi="Calibri"/>
          <w:i/>
          <w:color w:val="525866"/>
          <w:sz w:val="22"/>
        </w:rPr>
        <w:t>MCD Read-Through:</w:t>
      </w:r>
      <w:r>
        <w:rPr>
          <w:rFonts w:ascii="Calibri" w:hAnsi="Calibri"/>
          <w:i/>
          <w:color w:val="525866"/>
          <w:sz w:val="22"/>
        </w:rPr>
        <w:t xml:space="preserve"> Franchisee profitability pressure is a sector-wide theme. MCD's own U.S. company-operated margin issue (8.1% in Q1) is consistent with this trend. The refranchising review is partly a response to this dynamic.</w:t>
      </w:r>
    </w:p>
    <w:p>
      <w:pPr>
        <w:pStyle w:val="ListBullet"/>
        <w:ind w:left="360" w:hanging="360"/>
      </w:pPr>
      <w:r>
        <w:rPr>
          <w:rFonts w:ascii="Calibri" w:hAnsi="Calibri"/>
          <w:b/>
          <w:color w:val="525866"/>
          <w:sz w:val="22"/>
        </w:rPr>
        <w:t>Value Promotions Driving Order Count Growth:</w:t>
      </w:r>
      <w:r>
        <w:rPr>
          <w:rFonts w:ascii="Calibri" w:hAnsi="Calibri"/>
          <w:color w:val="525866"/>
          <w:sz w:val="22"/>
        </w:rPr>
        <w:t xml:space="preserve"> DPZ's "best deal ever" promotion (enhanced with Stuffed Crust) drove meaningful order count growth, with DPZ claiming to be the #1 pizza player on both Uber and DoorDash. Management stated that "millions of new customers came to Domino's" while other restaurants were fighting for orders. </w:t>
      </w:r>
      <w:r>
        <w:rPr>
          <w:rFonts w:ascii="Calibri" w:hAnsi="Calibri"/>
          <w:i/>
          <w:color w:val="525866"/>
          <w:sz w:val="22"/>
        </w:rPr>
        <w:t>MCD Read-Through:</w:t>
      </w:r>
      <w:r>
        <w:rPr>
          <w:rFonts w:ascii="Calibri" w:hAnsi="Calibri"/>
          <w:i/>
          <w:color w:val="525866"/>
          <w:sz w:val="22"/>
        </w:rPr>
        <w:t xml:space="preserve"> Validates the value-led traffic strategy. MCD's McValue 2.0 and $4 breakfast deal are the analogous levers. The competitive intensity for value-seeking consumers is high.</w:t>
      </w:r>
    </w:p>
    <w:p>
      <w:pPr>
        <w:pStyle w:val="ListBullet"/>
        <w:ind w:left="360" w:hanging="360"/>
      </w:pPr>
      <w:r>
        <w:rPr>
          <w:rFonts w:ascii="Calibri" w:hAnsi="Calibri"/>
          <w:b/>
          <w:color w:val="525866"/>
          <w:sz w:val="22"/>
        </w:rPr>
        <w:t>Consumer Returning to Dine-In:</w:t>
      </w:r>
      <w:r>
        <w:rPr>
          <w:rFonts w:ascii="Calibri" w:hAnsi="Calibri"/>
          <w:color w:val="525866"/>
          <w:sz w:val="22"/>
        </w:rPr>
        <w:t xml:space="preserve"> DPZ noted that "category growth this year is being driven by the dine-in channel, as some pizza consumers are returning to pre-COVID habits of wanting a dining experience." Independent QSR pizza restaurants were the biggest beneficiaries. </w:t>
      </w:r>
      <w:r>
        <w:rPr>
          <w:rFonts w:ascii="Calibri" w:hAnsi="Calibri"/>
          <w:i/>
          <w:color w:val="525866"/>
          <w:sz w:val="22"/>
        </w:rPr>
        <w:t>MCD Read-Through:</w:t>
      </w:r>
      <w:r>
        <w:rPr>
          <w:rFonts w:ascii="Calibri" w:hAnsi="Calibri"/>
          <w:i/>
          <w:color w:val="525866"/>
          <w:sz w:val="22"/>
        </w:rPr>
        <w:t xml:space="preserve"> A mild negative for delivery-heavy QSR operators; MCD's dine-in and drive-through model is well-positioned for this shift.</w:t>
      </w:r>
    </w:p>
    <w:p>
      <w:pPr>
        <w:pStyle w:val="Heading3"/>
      </w:pPr>
      <w:r>
        <w:rPr>
          <w:rFonts w:ascii="Calibri" w:hAnsi="Calibri"/>
          <w:b/>
          <w:color w:val="3B4259"/>
          <w:sz w:val="24"/>
        </w:rPr>
        <w:t>Chipotle Mexican Grill (CMG) — Q2 2026 Earnings Call (July 29, 2026)</w:t>
      </w:r>
    </w:p>
    <w:p>
      <w:r>
        <w:rPr>
          <w:rFonts w:ascii="Calibri" w:hAnsi="Calibri"/>
          <w:b/>
          <w:color w:val="525866"/>
          <w:sz w:val="22"/>
        </w:rPr>
        <w:t xml:space="preserve">Relevance: </w:t>
      </w:r>
      <w:r>
        <w:rPr>
          <w:rFonts w:ascii="Calibri" w:hAnsi="Calibri"/>
          <w:color w:val="525866"/>
          <w:sz w:val="22"/>
        </w:rPr>
        <w:t>CMG competes with MCD for the value-conscious consumer, particularly younger and lower-income cohorts. Its commentary on consumer behavior, value perception, and the late-July food safety industry impact is directly relevant.</w:t>
      </w:r>
    </w:p>
    <w:p>
      <w:pPr>
        <w:pStyle w:val="ListBullet"/>
        <w:ind w:left="360" w:hanging="360"/>
      </w:pPr>
      <w:r>
        <w:rPr>
          <w:rFonts w:ascii="Calibri" w:hAnsi="Calibri"/>
          <w:b/>
          <w:color w:val="525866"/>
          <w:sz w:val="22"/>
        </w:rPr>
        <w:t>Lower-Income and Younger Cohorts Recovering:</w:t>
      </w:r>
      <w:r>
        <w:rPr>
          <w:rFonts w:ascii="Calibri" w:hAnsi="Calibri"/>
          <w:color w:val="525866"/>
          <w:sz w:val="22"/>
        </w:rPr>
        <w:t xml:space="preserve"> CMG reported that "the younger cohort and lower-income cohort, which were previously under the most pressure, have shown the most improvement compared to other groups" in Q2. CMG's affordability scores were "better in Q2 than they've been in probably the past couple of years." CMG also saw its "highest year-over-year gains in wallet share last quarter since 2024" and has "taken share in each month of 2026 across all income cohorts and age groups." </w:t>
      </w:r>
      <w:r>
        <w:rPr>
          <w:rFonts w:ascii="Calibri" w:hAnsi="Calibri"/>
          <w:i/>
          <w:color w:val="525866"/>
          <w:sz w:val="22"/>
        </w:rPr>
        <w:t>MCD Read-Through:</w:t>
      </w:r>
      <w:r>
        <w:rPr>
          <w:rFonts w:ascii="Calibri" w:hAnsi="Calibri"/>
          <w:i/>
          <w:color w:val="525866"/>
          <w:sz w:val="22"/>
        </w:rPr>
        <w:t xml:space="preserve"> Positive read-through for MCD's value strategy. If lower-income consumers are recovering at CMG, MCD's McValue 2.0 platform (with under-$3 items) should also be capturing incremental traffic from this cohort. However, CMG gaining wallet share across all income groups is a competitive headwind.</w:t>
      </w:r>
    </w:p>
    <w:p>
      <w:pPr>
        <w:pStyle w:val="ListBullet"/>
        <w:ind w:left="360" w:hanging="360"/>
      </w:pPr>
      <w:r>
        <w:rPr>
          <w:rFonts w:ascii="Calibri" w:hAnsi="Calibri"/>
          <w:b/>
          <w:color w:val="525866"/>
          <w:sz w:val="22"/>
        </w:rPr>
        <w:t>Late-July Softening from Cyclospora Industry Issue:</w:t>
      </w:r>
      <w:r>
        <w:rPr>
          <w:rFonts w:ascii="Calibri" w:hAnsi="Calibri"/>
          <w:color w:val="525866"/>
          <w:sz w:val="22"/>
        </w:rPr>
        <w:t xml:space="preserve"> CMG reported that traffic "improved throughout the quarter" and momentum continued into the first half of July, but "in the second half of July, we did see a softening, call it about 200 basis points or so right around the issue that's affecting the industry around Cyclospora." CMG noted it is "not involved in the Cyclospora conversation" as the implicated products are not on its menu, but it is "impacted from a sales perspective" due to broad consumer caution. CMG now expects Q3 comps of approximately +1%, assuming a continuation of the ~200 bps impact. </w:t>
      </w:r>
      <w:r>
        <w:rPr>
          <w:rFonts w:ascii="Calibri" w:hAnsi="Calibri"/>
          <w:i/>
          <w:color w:val="525866"/>
          <w:sz w:val="22"/>
        </w:rPr>
        <w:t>MCD Read-Through:</w:t>
      </w:r>
      <w:r>
        <w:rPr>
          <w:rFonts w:ascii="Calibri" w:hAnsi="Calibri"/>
          <w:i/>
          <w:color w:val="525866"/>
          <w:sz w:val="22"/>
        </w:rPr>
        <w:t xml:space="preserve"> This is the most quantified read-through for the late-July QSR traffic headwind. If CMG (which is not implicated) saw ~200 bps of softening, MCD could face a similar or smaller impact given its broader consumer base and stronger value positioning. This is a meaningful risk to MCD's Q2 U.S. comp if the softening persisted through June 30 (note: CMG's Q2 ended June 30, so the Cyclospora impact is a Q3 issue for CMG but could be a late-Q2 issue for MCD if the timing overlaps).</w:t>
      </w:r>
    </w:p>
    <w:p>
      <w:pPr>
        <w:pStyle w:val="ListBullet"/>
        <w:ind w:left="360" w:hanging="360"/>
      </w:pPr>
      <w:r>
        <w:rPr>
          <w:rFonts w:ascii="Calibri" w:hAnsi="Calibri"/>
          <w:b/>
          <w:color w:val="525866"/>
          <w:sz w:val="22"/>
        </w:rPr>
        <w:t>Value Is Not Just Price — It's Execution and Innovation:</w:t>
      </w:r>
      <w:r>
        <w:rPr>
          <w:rFonts w:ascii="Calibri" w:hAnsi="Calibri"/>
          <w:color w:val="525866"/>
          <w:sz w:val="22"/>
        </w:rPr>
        <w:t xml:space="preserve"> CMG management stated that "value isn't just about discounting and price point. It's about convenience. It's about execution. It's about menu innovation." The high-protein menu and Chipotle Honey Chicken launch drove meaningful improvement in value perception. </w:t>
      </w:r>
      <w:r>
        <w:rPr>
          <w:rFonts w:ascii="Calibri" w:hAnsi="Calibri"/>
          <w:i/>
          <w:color w:val="525866"/>
          <w:sz w:val="22"/>
        </w:rPr>
        <w:t>MCD Read-Through:</w:t>
      </w:r>
      <w:r>
        <w:rPr>
          <w:rFonts w:ascii="Calibri" w:hAnsi="Calibri"/>
          <w:i/>
          <w:color w:val="525866"/>
          <w:sz w:val="22"/>
        </w:rPr>
        <w:t xml:space="preserve"> Validates MCD's multi-dimensional value strategy (McValue 2.0 + beverage platform + menu innovation). The beverage platform launch is MCD's equivalent of CMG's high-protein menu — a new occasion driver that improves value perception without pure price discounting.</w:t>
      </w:r>
    </w:p>
    <w:p>
      <w:pPr>
        <w:pStyle w:val="ListBullet"/>
        <w:ind w:left="360" w:hanging="360"/>
      </w:pPr>
      <w:r>
        <w:rPr>
          <w:rFonts w:ascii="Calibri" w:hAnsi="Calibri"/>
          <w:b/>
          <w:color w:val="525866"/>
          <w:sz w:val="22"/>
        </w:rPr>
        <w:t>Full-Year Comp Guidance Lowered to Low Single Digits:</w:t>
      </w:r>
      <w:r>
        <w:rPr>
          <w:rFonts w:ascii="Calibri" w:hAnsi="Calibri"/>
          <w:color w:val="525866"/>
          <w:sz w:val="22"/>
        </w:rPr>
        <w:t xml:space="preserve"> CMG lowered its full-year comparable sales growth guidance to the "low single-digit range" from a prior higher expectation, citing the Cyclospora industry impact and broader consumer caution. </w:t>
      </w:r>
      <w:r>
        <w:rPr>
          <w:rFonts w:ascii="Calibri" w:hAnsi="Calibri"/>
          <w:i/>
          <w:color w:val="525866"/>
          <w:sz w:val="22"/>
        </w:rPr>
        <w:t>MCD Read-Through:</w:t>
      </w:r>
      <w:r>
        <w:rPr>
          <w:rFonts w:ascii="Calibri" w:hAnsi="Calibri"/>
          <w:i/>
          <w:color w:val="525866"/>
          <w:sz w:val="22"/>
        </w:rPr>
        <w:t xml:space="preserve"> A mild negative read-through for the broader QSR sector. MCD's own FY 2026 U.S. comp consensus of +1.95% is already in the low single-digit range, suggesting the street has already de-risked expectations.</w:t>
      </w:r>
    </w:p>
    <w:p>
      <w:pPr>
        <w:pStyle w:val="Heading3"/>
      </w:pPr>
      <w:r>
        <w:rPr>
          <w:rFonts w:ascii="Calibri" w:hAnsi="Calibri"/>
          <w:b/>
          <w:color w:val="3B4259"/>
          <w:sz w:val="24"/>
        </w:rPr>
        <w:t>Starbucks (SBUX) — Q3 FY2026 Earnings Call (July 29, 2026)</w:t>
      </w:r>
    </w:p>
    <w:p>
      <w:r>
        <w:rPr>
          <w:rFonts w:ascii="Calibri" w:hAnsi="Calibri"/>
          <w:b/>
          <w:color w:val="525866"/>
          <w:sz w:val="22"/>
        </w:rPr>
        <w:t xml:space="preserve">Relevance: </w:t>
      </w:r>
      <w:r>
        <w:rPr>
          <w:rFonts w:ascii="Calibri" w:hAnsi="Calibri"/>
          <w:color w:val="525866"/>
          <w:sz w:val="22"/>
        </w:rPr>
        <w:t>SBUX is MCD's most direct competitor in the beverage category, particularly relevant given MCD's national McCafé beverage platform launch in May 2026. SBUX's strong Q3 results (7.9% U.S. comp) are a double-edged read-through: positive for the beverage category, but competitive for MCD's new platform.</w:t>
      </w:r>
    </w:p>
    <w:p>
      <w:pPr>
        <w:pStyle w:val="ListBullet"/>
        <w:ind w:left="360" w:hanging="360"/>
      </w:pPr>
      <w:r>
        <w:rPr>
          <w:rFonts w:ascii="Calibri" w:hAnsi="Calibri"/>
          <w:b/>
          <w:color w:val="525866"/>
          <w:sz w:val="22"/>
        </w:rPr>
        <w:t>SBUX U.S. Comp +7.9% in Q3 FY2026 — Broad-Based Recovery:</w:t>
      </w:r>
      <w:r>
        <w:rPr>
          <w:rFonts w:ascii="Calibri" w:hAnsi="Calibri"/>
          <w:color w:val="525866"/>
          <w:sz w:val="22"/>
        </w:rPr>
        <w:t xml:space="preserve"> SBUX reported U.S. comparable sales of +7.9% in Q3 FY2026 (quarter ended June 29, 2026), driven by balanced transaction (+4.2%) and ticket (+3.6%) growth. Growth was "broad based across generations and income groups and across both Starbucks Rewards members and non-members." This was the fourth consecutive quarter of positive global comparable sales and the second consecutive quarter of consolidated margin expansion (+430 bps YoY to 14.4%). </w:t>
      </w:r>
      <w:r>
        <w:rPr>
          <w:rFonts w:ascii="Calibri" w:hAnsi="Calibri"/>
          <w:i/>
          <w:color w:val="525866"/>
          <w:sz w:val="22"/>
        </w:rPr>
        <w:t>MCD Read-Through:</w:t>
      </w:r>
      <w:r>
        <w:rPr>
          <w:rFonts w:ascii="Calibri" w:hAnsi="Calibri"/>
          <w:i/>
          <w:color w:val="525866"/>
          <w:sz w:val="22"/>
        </w:rPr>
        <w:t xml:space="preserve"> SBUX's strong recovery demonstrates that the beverage category is robust and that consumers are willing to spend on premium beverages even in a challenging macro. This is a positive read-through for MCD's McCafé beverage platform launch, validating the category opportunity. However, SBUX's strength also means MCD is entering a more competitive beverage market.</w:t>
      </w:r>
    </w:p>
    <w:p>
      <w:pPr>
        <w:pStyle w:val="ListBullet"/>
        <w:ind w:left="360" w:hanging="360"/>
      </w:pPr>
      <w:r>
        <w:rPr>
          <w:rFonts w:ascii="Calibri" w:hAnsi="Calibri"/>
          <w:b/>
          <w:color w:val="525866"/>
          <w:sz w:val="22"/>
        </w:rPr>
        <w:t>Beverage Category Is Not Zero-Sum:</w:t>
      </w:r>
      <w:r>
        <w:rPr>
          <w:rFonts w:ascii="Calibri" w:hAnsi="Calibri"/>
          <w:color w:val="525866"/>
          <w:sz w:val="22"/>
        </w:rPr>
        <w:t xml:space="preserve"> SBUX management stated that the coffee category "appears to be just not zero sum in nature" and that SBUX aims to get "more than our fair share" even as competition increases. There is a "clear trend towards cold beverages." SBUX noted it is "the original when it comes to refreshers" and plans to defend its position. </w:t>
      </w:r>
      <w:r>
        <w:rPr>
          <w:rFonts w:ascii="Calibri" w:hAnsi="Calibri"/>
          <w:i/>
          <w:color w:val="525866"/>
          <w:sz w:val="22"/>
        </w:rPr>
        <w:t>MCD Read-Through:</w:t>
      </w:r>
      <w:r>
        <w:rPr>
          <w:rFonts w:ascii="Calibri" w:hAnsi="Calibri"/>
          <w:i/>
          <w:color w:val="525866"/>
          <w:sz w:val="22"/>
        </w:rPr>
        <w:t xml:space="preserve"> MCD's McCafé refreshers and crafted sodas are entering a growing category, but SBUX is explicitly defending its refresher franchise. The non-zero-sum nature of the category is positive for MCD's incremental occasion opportunity.</w:t>
      </w:r>
    </w:p>
    <w:p>
      <w:pPr>
        <w:pStyle w:val="ListBullet"/>
        <w:ind w:left="360" w:hanging="360"/>
      </w:pPr>
      <w:r>
        <w:rPr>
          <w:rFonts w:ascii="Calibri" w:hAnsi="Calibri"/>
          <w:b/>
          <w:color w:val="525866"/>
          <w:sz w:val="22"/>
        </w:rPr>
        <w:t>SBUX Raised Full-Year 2026 Guidance:</w:t>
      </w:r>
      <w:r>
        <w:rPr>
          <w:rFonts w:ascii="Calibri" w:hAnsi="Calibri"/>
          <w:color w:val="525866"/>
          <w:sz w:val="22"/>
        </w:rPr>
        <w:t xml:space="preserve"> SBUX raised FY2026 guidance: U.S. comp growth of "a little more than 6%" for the full year; consolidated margin guidance raised to "greater than 11%"; EPS guidance raised to "$2.55–$2.65." Q4 FY2026 U.S. comp expected to be "6.5% or better." </w:t>
      </w:r>
      <w:r>
        <w:rPr>
          <w:rFonts w:ascii="Calibri" w:hAnsi="Calibri"/>
          <w:i/>
          <w:color w:val="525866"/>
          <w:sz w:val="22"/>
        </w:rPr>
        <w:t>MCD Read-Through:</w:t>
      </w:r>
      <w:r>
        <w:rPr>
          <w:rFonts w:ascii="Calibri" w:hAnsi="Calibri"/>
          <w:i/>
          <w:color w:val="525866"/>
          <w:sz w:val="22"/>
        </w:rPr>
        <w:t xml:space="preserve"> SBUX's guidance raise signals confidence in the consumer environment for premium QSR/beverage, which is a mild positive for MCD's higher-income consumer cohort (which management noted is "very resilient"). However, SBUX's accelerating momentum means MCD's beverage platform faces a stronger competitive backdrop than when it was conceived.</w:t>
      </w:r>
    </w:p>
    <w:p>
      <w:pPr>
        <w:pStyle w:val="ListBullet"/>
        <w:ind w:left="360" w:hanging="360"/>
      </w:pPr>
      <w:r>
        <w:rPr>
          <w:rFonts w:ascii="Calibri" w:hAnsi="Calibri"/>
          <w:b/>
          <w:color w:val="525866"/>
          <w:sz w:val="22"/>
        </w:rPr>
        <w:t>Digital and Loyalty Driving Frequency:</w:t>
      </w:r>
      <w:r>
        <w:rPr>
          <w:rFonts w:ascii="Calibri" w:hAnsi="Calibri"/>
          <w:color w:val="525866"/>
          <w:sz w:val="22"/>
        </w:rPr>
        <w:t xml:space="preserve"> SBUX Rewards grew to 35.8 million 90-day active U.S. members, with the new program "exceeding expectations on multiple fronts, including engagement and average stored value card reload amounts." Digital menu boards are being rolled out to 80–90% of stores by September. </w:t>
      </w:r>
      <w:r>
        <w:rPr>
          <w:rFonts w:ascii="Calibri" w:hAnsi="Calibri"/>
          <w:i/>
          <w:color w:val="525866"/>
          <w:sz w:val="22"/>
        </w:rPr>
        <w:t>MCD Read-Through:</w:t>
      </w:r>
      <w:r>
        <w:rPr>
          <w:rFonts w:ascii="Calibri" w:hAnsi="Calibri"/>
          <w:i/>
          <w:color w:val="525866"/>
          <w:sz w:val="22"/>
        </w:rPr>
        <w:t xml:space="preserve"> Validates MCD's own digital loyalty strategy (210M global 90-day active users). The digital engagement arms race in QSR is intensifying, and MCD's scale advantage in loyalty is a key differentiator.</w:t>
      </w:r>
    </w:p>
    <w:p>
      <w:pPr>
        <w:pStyle w:val="ListBullet"/>
        <w:ind w:left="360" w:hanging="360"/>
      </w:pPr>
      <w:r>
        <w:rPr>
          <w:rFonts w:ascii="Calibri" w:hAnsi="Calibri"/>
          <w:b/>
          <w:color w:val="525866"/>
          <w:sz w:val="22"/>
        </w:rPr>
        <w:t>Consumer Resilience Despite Macro Pressure:</w:t>
      </w:r>
      <w:r>
        <w:rPr>
          <w:rFonts w:ascii="Calibri" w:hAnsi="Calibri"/>
          <w:color w:val="525866"/>
          <w:sz w:val="22"/>
        </w:rPr>
        <w:t xml:space="preserve"> SBUX noted that "even with the continued pressure on U.S. consumer sentiment, marketing and innovation helped drive that resilience." Growth was broad-based across income groups, with the morning daypart as the "biggest winner" in absolute transactions. </w:t>
      </w:r>
      <w:r>
        <w:rPr>
          <w:rFonts w:ascii="Calibri" w:hAnsi="Calibri"/>
          <w:i/>
          <w:color w:val="525866"/>
          <w:sz w:val="22"/>
        </w:rPr>
        <w:t>MCD Read-Through:</w:t>
      </w:r>
      <w:r>
        <w:rPr>
          <w:rFonts w:ascii="Calibri" w:hAnsi="Calibri"/>
          <w:i/>
          <w:color w:val="525866"/>
          <w:sz w:val="22"/>
        </w:rPr>
        <w:t xml:space="preserve"> Positive read-through for MCD's morning daypart strategy. The $4 breakfast meal deal is directly targeting the morning occasion where SBUX is strongest. Consumer resilience at SBUX suggests the macro headwind is manageable for well-positioned brands.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discretionary buys or sells since Q1 earnings — all transactions are pre-planned 10b5-1 sales or option exercises, which carry no informational signal. The absence of any open-market buying at a 52-week low is notable but not alarming given the 10b5-1 plan structure.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Joseph M. Erlinger</w:t>
            </w:r>
          </w:p>
        </w:tc>
        <w:tc>
          <w:tcPr>
            <w:tcW w:type="dxa" w:w="1440"/>
          </w:tcPr>
          <w:p>
            <w:r>
              <w:rPr>
                <w:rFonts w:ascii="Calibri" w:hAnsi="Calibri"/>
                <w:sz w:val="22"/>
              </w:rPr>
              <w:t>President, McDonald's USA</w:t>
            </w:r>
          </w:p>
        </w:tc>
        <w:tc>
          <w:tcPr>
            <w:tcW w:type="dxa" w:w="1440"/>
          </w:tcPr>
          <w:p>
            <w:r>
              <w:rPr>
                <w:rFonts w:ascii="Calibri" w:hAnsi="Calibri"/>
                <w:sz w:val="22"/>
              </w:rPr>
              <w:t>Open Market Sale (10b5-1)</w:t>
            </w:r>
          </w:p>
        </w:tc>
        <w:tc>
          <w:tcPr>
            <w:tcW w:type="dxa" w:w="1440"/>
          </w:tcPr>
          <w:p>
            <w:r>
              <w:rPr>
                <w:rFonts w:ascii="Calibri" w:hAnsi="Calibri"/>
                <w:sz w:val="22"/>
              </w:rPr>
              <w:t>333 shares</w:t>
            </w:r>
          </w:p>
        </w:tc>
        <w:tc>
          <w:tcPr>
            <w:tcW w:type="dxa" w:w="1440"/>
          </w:tcPr>
          <w:p>
            <w:r>
              <w:rPr>
                <w:rFonts w:ascii="Calibri" w:hAnsi="Calibri"/>
                <w:sz w:val="22"/>
              </w:rPr>
              <w:t>May 26, 2026</w:t>
            </w:r>
          </w:p>
        </w:tc>
        <w:tc>
          <w:tcPr>
            <w:tcW w:type="dxa" w:w="1440"/>
          </w:tcPr>
          <w:p>
            <w:r>
              <w:rPr>
                <w:rFonts w:ascii="Calibri" w:hAnsi="Calibri"/>
                <w:sz w:val="22"/>
              </w:rPr>
              <w:t>Pre-planned 10b5-1 sale; not discretionary</w:t>
            </w:r>
          </w:p>
        </w:tc>
      </w:tr>
      <w:tr>
        <w:tc>
          <w:tcPr>
            <w:tcW w:type="dxa" w:w="1440"/>
          </w:tcPr>
          <w:p>
            <w:r>
              <w:rPr>
                <w:rFonts w:ascii="Calibri" w:hAnsi="Calibri"/>
                <w:sz w:val="22"/>
              </w:rPr>
              <w:t>Desiree Ralls-Morrison</w:t>
            </w:r>
          </w:p>
        </w:tc>
        <w:tc>
          <w:tcPr>
            <w:tcW w:type="dxa" w:w="1440"/>
          </w:tcPr>
          <w:p>
            <w:r>
              <w:rPr>
                <w:rFonts w:ascii="Calibri" w:hAnsi="Calibri"/>
                <w:sz w:val="22"/>
              </w:rPr>
              <w:t>EVP, Chief Legal Officer</w:t>
            </w:r>
          </w:p>
        </w:tc>
        <w:tc>
          <w:tcPr>
            <w:tcW w:type="dxa" w:w="1440"/>
          </w:tcPr>
          <w:p>
            <w:r>
              <w:rPr>
                <w:rFonts w:ascii="Calibri" w:hAnsi="Calibri"/>
                <w:sz w:val="22"/>
              </w:rPr>
              <w:t>Open Market Sale (10b5-1)</w:t>
            </w:r>
          </w:p>
        </w:tc>
        <w:tc>
          <w:tcPr>
            <w:tcW w:type="dxa" w:w="1440"/>
          </w:tcPr>
          <w:p>
            <w:r>
              <w:rPr>
                <w:rFonts w:ascii="Calibri" w:hAnsi="Calibri"/>
                <w:sz w:val="22"/>
              </w:rPr>
              <w:t>2,763 shares</w:t>
            </w:r>
          </w:p>
        </w:tc>
        <w:tc>
          <w:tcPr>
            <w:tcW w:type="dxa" w:w="1440"/>
          </w:tcPr>
          <w:p>
            <w:r>
              <w:rPr>
                <w:rFonts w:ascii="Calibri" w:hAnsi="Calibri"/>
                <w:sz w:val="22"/>
              </w:rPr>
              <w:t>May 28, 2026</w:t>
            </w:r>
          </w:p>
        </w:tc>
        <w:tc>
          <w:tcPr>
            <w:tcW w:type="dxa" w:w="1440"/>
          </w:tcPr>
          <w:p>
            <w:r>
              <w:rPr>
                <w:rFonts w:ascii="Calibri" w:hAnsi="Calibri"/>
                <w:sz w:val="22"/>
              </w:rPr>
              <w:t>Pre-planned 10b5-1 sale; not discretionary</w:t>
            </w:r>
          </w:p>
        </w:tc>
      </w:tr>
      <w:tr>
        <w:tc>
          <w:tcPr>
            <w:tcW w:type="dxa" w:w="1440"/>
          </w:tcPr>
          <w:p>
            <w:r>
              <w:rPr>
                <w:rFonts w:ascii="Calibri" w:hAnsi="Calibri"/>
                <w:sz w:val="22"/>
              </w:rPr>
              <w:t>Joseph M. Erlinger</w:t>
            </w:r>
          </w:p>
        </w:tc>
        <w:tc>
          <w:tcPr>
            <w:tcW w:type="dxa" w:w="1440"/>
          </w:tcPr>
          <w:p>
            <w:r>
              <w:rPr>
                <w:rFonts w:ascii="Calibri" w:hAnsi="Calibri"/>
                <w:sz w:val="22"/>
              </w:rPr>
              <w:t>President, McDonald's USA</w:t>
            </w:r>
          </w:p>
        </w:tc>
        <w:tc>
          <w:tcPr>
            <w:tcW w:type="dxa" w:w="1440"/>
          </w:tcPr>
          <w:p>
            <w:r>
              <w:rPr>
                <w:rFonts w:ascii="Calibri" w:hAnsi="Calibri"/>
                <w:sz w:val="22"/>
              </w:rPr>
              <w:t>Option Exercise + Sale (10b5-1)</w:t>
            </w:r>
          </w:p>
        </w:tc>
        <w:tc>
          <w:tcPr>
            <w:tcW w:type="dxa" w:w="1440"/>
          </w:tcPr>
          <w:p>
            <w:r>
              <w:rPr>
                <w:rFonts w:ascii="Calibri" w:hAnsi="Calibri"/>
                <w:sz w:val="22"/>
              </w:rPr>
              <w:t>5,252 shares exercised &amp; sold</w:t>
            </w:r>
          </w:p>
        </w:tc>
        <w:tc>
          <w:tcPr>
            <w:tcW w:type="dxa" w:w="1440"/>
          </w:tcPr>
          <w:p>
            <w:r>
              <w:rPr>
                <w:rFonts w:ascii="Calibri" w:hAnsi="Calibri"/>
                <w:sz w:val="22"/>
              </w:rPr>
              <w:t>June 10, 2026</w:t>
            </w:r>
          </w:p>
        </w:tc>
        <w:tc>
          <w:tcPr>
            <w:tcW w:type="dxa" w:w="1440"/>
          </w:tcPr>
          <w:p>
            <w:r>
              <w:rPr>
                <w:rFonts w:ascii="Calibri" w:hAnsi="Calibri"/>
                <w:sz w:val="22"/>
              </w:rPr>
              <w:t>Same-day exercise and sale; pre-planned 10b5-1; no discretionary signal</w:t>
            </w:r>
          </w:p>
        </w:tc>
      </w:tr>
      <w:tr>
        <w:tc>
          <w:tcPr>
            <w:tcW w:type="dxa" w:w="1440"/>
          </w:tcPr>
          <w:p>
            <w:r>
              <w:rPr>
                <w:rFonts w:ascii="Calibri" w:hAnsi="Calibri"/>
                <w:sz w:val="22"/>
              </w:rPr>
              <w:t>Lloyd H. Dean</w:t>
            </w:r>
          </w:p>
        </w:tc>
        <w:tc>
          <w:tcPr>
            <w:tcW w:type="dxa" w:w="1440"/>
          </w:tcPr>
          <w:p>
            <w:r>
              <w:rPr>
                <w:rFonts w:ascii="Calibri" w:hAnsi="Calibri"/>
                <w:sz w:val="22"/>
              </w:rPr>
              <w:t>Director</w:t>
            </w:r>
          </w:p>
        </w:tc>
        <w:tc>
          <w:tcPr>
            <w:tcW w:type="dxa" w:w="1440"/>
          </w:tcPr>
          <w:p>
            <w:r>
              <w:rPr>
                <w:rFonts w:ascii="Calibri" w:hAnsi="Calibri"/>
                <w:sz w:val="22"/>
              </w:rPr>
              <w:t>Phantom Stock Award (A)</w:t>
            </w:r>
          </w:p>
        </w:tc>
        <w:tc>
          <w:tcPr>
            <w:tcW w:type="dxa" w:w="1440"/>
          </w:tcPr>
          <w:p>
            <w:r>
              <w:rPr>
                <w:rFonts w:ascii="Calibri" w:hAnsi="Calibri"/>
                <w:sz w:val="22"/>
              </w:rPr>
              <w:t>116.64 units (Q1) / 134.11 units (Q2)</w:t>
            </w:r>
          </w:p>
        </w:tc>
        <w:tc>
          <w:tcPr>
            <w:tcW w:type="dxa" w:w="1440"/>
          </w:tcPr>
          <w:p>
            <w:r>
              <w:rPr>
                <w:rFonts w:ascii="Calibri" w:hAnsi="Calibri"/>
                <w:sz w:val="22"/>
              </w:rPr>
              <w:t>Mar 31 / Jun 30, 2026</w:t>
            </w:r>
          </w:p>
        </w:tc>
        <w:tc>
          <w:tcPr>
            <w:tcW w:type="dxa" w:w="1440"/>
          </w:tcPr>
          <w:p>
            <w:r>
              <w:rPr>
                <w:rFonts w:ascii="Calibri" w:hAnsi="Calibri"/>
                <w:sz w:val="22"/>
              </w:rPr>
              <w:t>Routine director compensation in phantom stock; not open-market</w:t>
            </w:r>
          </w:p>
        </w:tc>
      </w:tr>
      <w:tr>
        <w:tc>
          <w:tcPr>
            <w:tcW w:type="dxa" w:w="1440"/>
          </w:tcPr>
          <w:p>
            <w:r>
              <w:rPr>
                <w:rFonts w:ascii="Calibri" w:hAnsi="Calibri"/>
                <w:sz w:val="22"/>
              </w:rPr>
              <w:t>Michael D. Hsu</w:t>
            </w:r>
          </w:p>
        </w:tc>
        <w:tc>
          <w:tcPr>
            <w:tcW w:type="dxa" w:w="1440"/>
          </w:tcPr>
          <w:p>
            <w:r>
              <w:rPr>
                <w:rFonts w:ascii="Calibri" w:hAnsi="Calibri"/>
                <w:sz w:val="22"/>
              </w:rPr>
              <w:t>Director</w:t>
            </w:r>
          </w:p>
        </w:tc>
        <w:tc>
          <w:tcPr>
            <w:tcW w:type="dxa" w:w="1440"/>
          </w:tcPr>
          <w:p>
            <w:r>
              <w:rPr>
                <w:rFonts w:ascii="Calibri" w:hAnsi="Calibri"/>
                <w:sz w:val="22"/>
              </w:rPr>
              <w:t>Phantom Stock Award (A)</w:t>
            </w:r>
          </w:p>
        </w:tc>
        <w:tc>
          <w:tcPr>
            <w:tcW w:type="dxa" w:w="1440"/>
          </w:tcPr>
          <w:p>
            <w:r>
              <w:rPr>
                <w:rFonts w:ascii="Calibri" w:hAnsi="Calibri"/>
                <w:sz w:val="22"/>
              </w:rPr>
              <w:t>96.53 units (Q1) / 110.99 units (Q2)</w:t>
            </w:r>
          </w:p>
        </w:tc>
        <w:tc>
          <w:tcPr>
            <w:tcW w:type="dxa" w:w="1440"/>
          </w:tcPr>
          <w:p>
            <w:r>
              <w:rPr>
                <w:rFonts w:ascii="Calibri" w:hAnsi="Calibri"/>
                <w:sz w:val="22"/>
              </w:rPr>
              <w:t>Mar 31 / Jun 30, 2026</w:t>
            </w:r>
          </w:p>
        </w:tc>
        <w:tc>
          <w:tcPr>
            <w:tcW w:type="dxa" w:w="1440"/>
          </w:tcPr>
          <w:p>
            <w:r>
              <w:rPr>
                <w:rFonts w:ascii="Calibri" w:hAnsi="Calibri"/>
                <w:sz w:val="22"/>
              </w:rPr>
              <w:t>Routine director compensation in phantom stock; not open-market</w:t>
            </w:r>
          </w:p>
        </w:tc>
      </w:tr>
      <w:tr>
        <w:tc>
          <w:tcPr>
            <w:tcW w:type="dxa" w:w="1440"/>
          </w:tcPr>
          <w:p>
            <w:r>
              <w:rPr>
                <w:rFonts w:ascii="Calibri" w:hAnsi="Calibri"/>
                <w:sz w:val="22"/>
              </w:rPr>
              <w:t>Jennifer L. Taubert</w:t>
            </w:r>
          </w:p>
        </w:tc>
        <w:tc>
          <w:tcPr>
            <w:tcW w:type="dxa" w:w="1440"/>
          </w:tcPr>
          <w:p>
            <w:r>
              <w:rPr>
                <w:rFonts w:ascii="Calibri" w:hAnsi="Calibri"/>
                <w:sz w:val="22"/>
              </w:rPr>
              <w:t>Director</w:t>
            </w:r>
          </w:p>
        </w:tc>
        <w:tc>
          <w:tcPr>
            <w:tcW w:type="dxa" w:w="1440"/>
          </w:tcPr>
          <w:p>
            <w:r>
              <w:rPr>
                <w:rFonts w:ascii="Calibri" w:hAnsi="Calibri"/>
                <w:sz w:val="22"/>
              </w:rPr>
              <w:t>Phantom Stock Award (A)</w:t>
            </w:r>
          </w:p>
        </w:tc>
        <w:tc>
          <w:tcPr>
            <w:tcW w:type="dxa" w:w="1440"/>
          </w:tcPr>
          <w:p>
            <w:r>
              <w:rPr>
                <w:rFonts w:ascii="Calibri" w:hAnsi="Calibri"/>
                <w:sz w:val="22"/>
              </w:rPr>
              <w:t>96.53 units (Q1) / 110.99 units (Q2)</w:t>
            </w:r>
          </w:p>
        </w:tc>
        <w:tc>
          <w:tcPr>
            <w:tcW w:type="dxa" w:w="1440"/>
          </w:tcPr>
          <w:p>
            <w:r>
              <w:rPr>
                <w:rFonts w:ascii="Calibri" w:hAnsi="Calibri"/>
                <w:sz w:val="22"/>
              </w:rPr>
              <w:t>Mar 31 / Jun 30, 2026</w:t>
            </w:r>
          </w:p>
        </w:tc>
        <w:tc>
          <w:tcPr>
            <w:tcW w:type="dxa" w:w="1440"/>
          </w:tcPr>
          <w:p>
            <w:r>
              <w:rPr>
                <w:rFonts w:ascii="Calibri" w:hAnsi="Calibri"/>
                <w:sz w:val="22"/>
              </w:rPr>
              <w:t>Routine director compensation in phantom stock; not open-market</w:t>
            </w:r>
          </w:p>
        </w:tc>
      </w:tr>
    </w:tbl>
    <w:p>
      <w:r>
        <w:rPr>
          <w:rFonts w:ascii="Calibri" w:hAnsi="Calibri"/>
          <w:color w:val="525866"/>
          <w:sz w:val="22"/>
        </w:rPr>
        <w:t>All transactions since Q1 2026 earnings are either pre-planned 10b5-1 sales (Erlinger, Ralls-Morrison) or routine director phantom stock compensation awards (Dean, Hsu, Taubert). There are no open-market discretionary buys or sells. The absence of any open-market buying by insiders at the 52-week low ($264) is notable but not a negative signal given the 10b5-1 plan structure, which prevents discretionary trading. No Form 144 notices of intended sale were filed in the period.</w:t>
      </w:r>
    </w:p>
    <w:p>
      <w:r>
        <w:rPr>
          <w:rFonts w:ascii="Calibri" w:hAnsi="Calibri"/>
          <w:i/>
          <w:color w:val="525866"/>
          <w:sz w:val="22"/>
        </w:rPr>
        <w:t>Source: Insider Transaction Data (SEC Form 4 filings).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