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McDonald's Corporation (MCD)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McDonald's Corporation</w:t>
            </w:r>
          </w:p>
        </w:tc>
      </w:tr>
      <w:tr>
        <w:tc>
          <w:tcPr>
            <w:tcW w:type="dxa" w:w="4320"/>
          </w:tcPr>
          <w:p>
            <w:r>
              <w:rPr>
                <w:rFonts w:ascii="Calibri" w:hAnsi="Calibri"/>
                <w:b/>
                <w:sz w:val="22"/>
              </w:rPr>
              <w:t>Ticker</w:t>
            </w:r>
          </w:p>
        </w:tc>
        <w:tc>
          <w:tcPr>
            <w:tcW w:type="dxa" w:w="4320"/>
          </w:tcPr>
          <w:p>
            <w:r>
              <w:rPr>
                <w:rFonts w:ascii="Calibri" w:hAnsi="Calibri"/>
                <w:sz w:val="22"/>
              </w:rPr>
              <w:t>MCD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Pre-market (8:30 AM ET call)</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mixed-to-cautious — consensus is a manageable bar (total comps of ~+1.2%, U.S. comps of ~+0.8%, operating EPS of ~$3.32) but estimates have drifted lower since the Q1 print, and the single biggest swing factor is whether the FIFA World Cup and McValue 2.0 drove enough May/June traffic to offset a deeply negative April.</w:t>
      </w:r>
    </w:p>
    <w:p>
      <w:r>
        <w:rPr>
          <w:rFonts w:ascii="Calibri" w:hAnsi="Calibri"/>
          <w:color w:val="525866"/>
          <w:sz w:val="22"/>
        </w:rPr>
        <w:t xml:space="preserve">Heading into the Q2 2026 print, McDonald's faces a deliberately low bar set by management itself: on the Q1 call, CEO Chris Kempczinski explicitly guided for a </w:t>
      </w:r>
      <w:r>
        <w:rPr>
          <w:rFonts w:ascii="Calibri" w:hAnsi="Calibri"/>
          <w:b/>
          <w:color w:val="525866"/>
          <w:sz w:val="22"/>
        </w:rPr>
        <w:t>meaningful deceleration</w:t>
      </w:r>
      <w:r>
        <w:rPr>
          <w:rFonts w:ascii="Calibri" w:hAnsi="Calibri"/>
          <w:color w:val="525866"/>
          <w:sz w:val="22"/>
        </w:rPr>
        <w:t xml:space="preserve"> from Q1's 3.9% U.S. and IOM comps, citing a slightly negative April driven by the lapping of the highly successful Minecraft promotion. Consensus has absorbed that warning — total global comp estimates have slid from ~+1.5% in mid-May to ~+1.2% today, and operating EPS has drifted from ~$3.33 to ~$3.32 — leaving a bar that should be achievable if May and June recovered as management expected. The </w:t>
      </w:r>
      <w:r>
        <w:rPr>
          <w:rFonts w:ascii="Calibri" w:hAnsi="Calibri"/>
          <w:b/>
          <w:color w:val="525866"/>
          <w:sz w:val="22"/>
        </w:rPr>
        <w:t>McValue 2.0 relaunch (mid-April)</w:t>
      </w:r>
      <w:r>
        <w:rPr>
          <w:rFonts w:ascii="Calibri" w:hAnsi="Calibri"/>
          <w:color w:val="525866"/>
          <w:sz w:val="22"/>
        </w:rPr>
        <w:t xml:space="preserve"> with an under-$3 everyday menu and $4 breakfast deal, the </w:t>
      </w:r>
      <w:r>
        <w:rPr>
          <w:rFonts w:ascii="Calibri" w:hAnsi="Calibri"/>
          <w:b/>
          <w:color w:val="525866"/>
          <w:sz w:val="22"/>
        </w:rPr>
        <w:t>national McCafé beverage platform launch</w:t>
      </w:r>
      <w:r>
        <w:rPr>
          <w:rFonts w:ascii="Calibri" w:hAnsi="Calibri"/>
          <w:color w:val="525866"/>
          <w:sz w:val="22"/>
        </w:rPr>
        <w:t xml:space="preserve"> (refreshers and crafted sodas), and the </w:t>
      </w:r>
      <w:r>
        <w:rPr>
          <w:rFonts w:ascii="Calibri" w:hAnsi="Calibri"/>
          <w:b/>
          <w:color w:val="525866"/>
          <w:sz w:val="22"/>
        </w:rPr>
        <w:t>FIFA World Cup partnership in June</w:t>
      </w:r>
      <w:r>
        <w:rPr>
          <w:rFonts w:ascii="Calibri" w:hAnsi="Calibri"/>
          <w:color w:val="525866"/>
          <w:sz w:val="22"/>
        </w:rPr>
        <w:t xml:space="preserve"> are the three catalysts management cited as drivers of sequential re-acceleration on a two-year stack basis. The stock has underperformed meaningfully since the Q1 print (-6.8% vs. SPY +2.1%), with multiple compression accounting for the bulk of the move, suggesting the market has already priced in a soft quarter. The key wildcard is the </w:t>
      </w:r>
      <w:r>
        <w:rPr>
          <w:rFonts w:ascii="Calibri" w:hAnsi="Calibri"/>
          <w:b/>
          <w:color w:val="525866"/>
          <w:sz w:val="22"/>
        </w:rPr>
        <w:t>Cyclospora/food-safety industry scare</w:t>
      </w:r>
      <w:r>
        <w:rPr>
          <w:rFonts w:ascii="Calibri" w:hAnsi="Calibri"/>
          <w:color w:val="525866"/>
          <w:sz w:val="22"/>
        </w:rPr>
        <w:t xml:space="preserve"> that emerged in mid-July and hit Taco Bell hardest — Chipotle noted a ~200 bps traffic softening in late July from heightened consumer caution, and McDonald's CEO had already flagged tentative stabilization, but any spillover into McDonald's traffic or a management commentary downgrade on Q3 could be the negative surprise that moves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low-to-manageable bar on comps but a tighter bar on EPS given the FX tailwind already baked in. Global comparable sales is the bigger swing factor — a beat there would likely drive the stock; a miss on U.S. comps (consensus ~+0.8%) would be the most damaging outcome.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(PY)</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EPS ($)</w:t>
            </w:r>
          </w:p>
        </w:tc>
        <w:tc>
          <w:tcPr>
            <w:tcW w:type="dxa" w:w="1234"/>
          </w:tcPr>
          <w:p>
            <w:r>
              <w:rPr>
                <w:rFonts w:ascii="Calibri" w:hAnsi="Calibri"/>
                <w:sz w:val="22"/>
              </w:rPr>
              <w:t>$2.83</w:t>
            </w:r>
          </w:p>
        </w:tc>
        <w:tc>
          <w:tcPr>
            <w:tcW w:type="dxa" w:w="1234"/>
          </w:tcPr>
          <w:p>
            <w:r>
              <w:rPr>
                <w:rFonts w:ascii="Calibri" w:hAnsi="Calibri"/>
                <w:sz w:val="22"/>
              </w:rPr>
              <w:t>$3.19</w:t>
            </w:r>
          </w:p>
        </w:tc>
        <w:tc>
          <w:tcPr>
            <w:tcW w:type="dxa" w:w="1234"/>
          </w:tcPr>
          <w:p>
            <w:r>
              <w:rPr>
                <w:rFonts w:ascii="Calibri" w:hAnsi="Calibri"/>
                <w:sz w:val="22"/>
              </w:rPr>
              <w:t>$3.32</w:t>
            </w:r>
          </w:p>
        </w:tc>
        <w:tc>
          <w:tcPr>
            <w:tcW w:type="dxa" w:w="1234"/>
          </w:tcPr>
          <w:p>
            <w:r>
              <w:rPr>
                <w:rFonts w:ascii="Calibri" w:hAnsi="Calibri"/>
                <w:sz w:val="22"/>
              </w:rPr>
              <w:t>+4.1% YoY</w:t>
            </w:r>
          </w:p>
        </w:tc>
        <w:tc>
          <w:tcPr>
            <w:tcW w:type="dxa" w:w="1234"/>
          </w:tcPr>
          <w:p>
            <w:r>
              <w:rPr>
                <w:rFonts w:ascii="Calibri" w:hAnsi="Calibri"/>
                <w:sz w:val="22"/>
              </w:rPr>
              <w:t>No specific Q2 guide; FY guide reaffirmed</w:t>
            </w:r>
          </w:p>
        </w:tc>
        <w:tc>
          <w:tcPr>
            <w:tcW w:type="dxa" w:w="1234"/>
          </w:tcPr>
          <w:p>
            <w:r>
              <w:rPr>
                <w:rFonts w:ascii="Calibri" w:hAnsi="Calibri"/>
                <w:sz w:val="22"/>
              </w:rPr>
              <w:t>N/A (no Q2 EPS guide)</w:t>
            </w:r>
          </w:p>
        </w:tc>
      </w:tr>
      <w:tr>
        <w:tc>
          <w:tcPr>
            <w:tcW w:type="dxa" w:w="1234"/>
          </w:tcPr>
          <w:p>
            <w:r>
              <w:rPr>
                <w:rFonts w:ascii="Calibri" w:hAnsi="Calibri"/>
                <w:sz w:val="22"/>
              </w:rPr>
              <w:t>Total Comparable Sales (%)</w:t>
            </w:r>
          </w:p>
        </w:tc>
        <w:tc>
          <w:tcPr>
            <w:tcW w:type="dxa" w:w="1234"/>
          </w:tcPr>
          <w:p>
            <w:r>
              <w:rPr>
                <w:rFonts w:ascii="Calibri" w:hAnsi="Calibri"/>
                <w:sz w:val="22"/>
              </w:rPr>
              <w:t>+3.8%</w:t>
            </w:r>
          </w:p>
        </w:tc>
        <w:tc>
          <w:tcPr>
            <w:tcW w:type="dxa" w:w="1234"/>
          </w:tcPr>
          <w:p>
            <w:r>
              <w:rPr>
                <w:rFonts w:ascii="Calibri" w:hAnsi="Calibri"/>
                <w:sz w:val="22"/>
              </w:rPr>
              <w:t>+3.8%</w:t>
            </w:r>
          </w:p>
        </w:tc>
        <w:tc>
          <w:tcPr>
            <w:tcW w:type="dxa" w:w="1234"/>
          </w:tcPr>
          <w:p>
            <w:r>
              <w:rPr>
                <w:rFonts w:ascii="Calibri" w:hAnsi="Calibri"/>
                <w:sz w:val="22"/>
              </w:rPr>
              <w:t>+1.2%</w:t>
            </w:r>
          </w:p>
        </w:tc>
        <w:tc>
          <w:tcPr>
            <w:tcW w:type="dxa" w:w="1234"/>
          </w:tcPr>
          <w:p>
            <w:r>
              <w:rPr>
                <w:rFonts w:ascii="Calibri" w:hAnsi="Calibri"/>
                <w:sz w:val="22"/>
              </w:rPr>
              <w:t>-260 bps YoY</w:t>
            </w:r>
          </w:p>
        </w:tc>
        <w:tc>
          <w:tcPr>
            <w:tcW w:type="dxa" w:w="1234"/>
          </w:tcPr>
          <w:p>
            <w:r>
              <w:rPr>
                <w:rFonts w:ascii="Calibri" w:hAnsi="Calibri"/>
                <w:sz w:val="22"/>
              </w:rPr>
              <w:t>Meaningful decel from Q1; accel on 2-yr stack</w:t>
            </w:r>
          </w:p>
        </w:tc>
        <w:tc>
          <w:tcPr>
            <w:tcW w:type="dxa" w:w="1234"/>
          </w:tcPr>
          <w:p>
            <w:r>
              <w:rPr>
                <w:rFonts w:ascii="Calibri" w:hAnsi="Calibri"/>
                <w:sz w:val="22"/>
              </w:rPr>
              <w:t>In line with guidance</w:t>
            </w:r>
          </w:p>
        </w:tc>
      </w:tr>
      <w:tr>
        <w:tc>
          <w:tcPr>
            <w:tcW w:type="dxa" w:w="1234"/>
          </w:tcPr>
          <w:p>
            <w:r>
              <w:rPr>
                <w:rFonts w:ascii="Calibri" w:hAnsi="Calibri"/>
                <w:sz w:val="22"/>
              </w:rPr>
              <w:t>U.S. Comparable Sales (%)</w:t>
            </w:r>
          </w:p>
        </w:tc>
        <w:tc>
          <w:tcPr>
            <w:tcW w:type="dxa" w:w="1234"/>
          </w:tcPr>
          <w:p>
            <w:r>
              <w:rPr>
                <w:rFonts w:ascii="Calibri" w:hAnsi="Calibri"/>
                <w:sz w:val="22"/>
              </w:rPr>
              <w:t>+3.9%</w:t>
            </w:r>
          </w:p>
        </w:tc>
        <w:tc>
          <w:tcPr>
            <w:tcW w:type="dxa" w:w="1234"/>
          </w:tcPr>
          <w:p>
            <w:r>
              <w:rPr>
                <w:rFonts w:ascii="Calibri" w:hAnsi="Calibri"/>
                <w:sz w:val="22"/>
              </w:rPr>
              <w:t>+2.5%</w:t>
            </w:r>
          </w:p>
        </w:tc>
        <w:tc>
          <w:tcPr>
            <w:tcW w:type="dxa" w:w="1234"/>
          </w:tcPr>
          <w:p>
            <w:r>
              <w:rPr>
                <w:rFonts w:ascii="Calibri" w:hAnsi="Calibri"/>
                <w:sz w:val="22"/>
              </w:rPr>
              <w:t>+0.8%</w:t>
            </w:r>
          </w:p>
        </w:tc>
        <w:tc>
          <w:tcPr>
            <w:tcW w:type="dxa" w:w="1234"/>
          </w:tcPr>
          <w:p>
            <w:r>
              <w:rPr>
                <w:rFonts w:ascii="Calibri" w:hAnsi="Calibri"/>
                <w:sz w:val="22"/>
              </w:rPr>
              <w:t>-170 bps YoY</w:t>
            </w:r>
          </w:p>
        </w:tc>
        <w:tc>
          <w:tcPr>
            <w:tcW w:type="dxa" w:w="1234"/>
          </w:tcPr>
          <w:p>
            <w:r>
              <w:rPr>
                <w:rFonts w:ascii="Calibri" w:hAnsi="Calibri"/>
                <w:sz w:val="22"/>
              </w:rPr>
              <w:t>Meaningful decel from Q1; accel on 2-yr stack</w:t>
            </w:r>
          </w:p>
        </w:tc>
        <w:tc>
          <w:tcPr>
            <w:tcW w:type="dxa" w:w="1234"/>
          </w:tcPr>
          <w:p>
            <w:r>
              <w:rPr>
                <w:rFonts w:ascii="Calibri" w:hAnsi="Calibri"/>
                <w:sz w:val="22"/>
              </w:rPr>
              <w:t>In line with guidance</w:t>
            </w:r>
          </w:p>
        </w:tc>
      </w:tr>
      <w:tr>
        <w:tc>
          <w:tcPr>
            <w:tcW w:type="dxa" w:w="1234"/>
          </w:tcPr>
          <w:p>
            <w:r>
              <w:rPr>
                <w:rFonts w:ascii="Calibri" w:hAnsi="Calibri"/>
                <w:sz w:val="22"/>
              </w:rPr>
              <w:t>IOM Comparable Sales (%)</w:t>
            </w:r>
          </w:p>
        </w:tc>
        <w:tc>
          <w:tcPr>
            <w:tcW w:type="dxa" w:w="1234"/>
          </w:tcPr>
          <w:p>
            <w:r>
              <w:rPr>
                <w:rFonts w:ascii="Calibri" w:hAnsi="Calibri"/>
                <w:sz w:val="22"/>
              </w:rPr>
              <w:t>+3.9%</w:t>
            </w:r>
          </w:p>
        </w:tc>
        <w:tc>
          <w:tcPr>
            <w:tcW w:type="dxa" w:w="1234"/>
          </w:tcPr>
          <w:p>
            <w:r>
              <w:rPr>
                <w:rFonts w:ascii="Calibri" w:hAnsi="Calibri"/>
                <w:sz w:val="22"/>
              </w:rPr>
              <w:t>+4.0%</w:t>
            </w:r>
          </w:p>
        </w:tc>
        <w:tc>
          <w:tcPr>
            <w:tcW w:type="dxa" w:w="1234"/>
          </w:tcPr>
          <w:p>
            <w:r>
              <w:rPr>
                <w:rFonts w:ascii="Calibri" w:hAnsi="Calibri"/>
                <w:sz w:val="22"/>
              </w:rPr>
              <w:t>+1.4%</w:t>
            </w:r>
          </w:p>
        </w:tc>
        <w:tc>
          <w:tcPr>
            <w:tcW w:type="dxa" w:w="1234"/>
          </w:tcPr>
          <w:p>
            <w:r>
              <w:rPr>
                <w:rFonts w:ascii="Calibri" w:hAnsi="Calibri"/>
                <w:sz w:val="22"/>
              </w:rPr>
              <w:t>-260 bps YoY</w:t>
            </w:r>
          </w:p>
        </w:tc>
        <w:tc>
          <w:tcPr>
            <w:tcW w:type="dxa" w:w="1234"/>
          </w:tcPr>
          <w:p>
            <w:r>
              <w:rPr>
                <w:rFonts w:ascii="Calibri" w:hAnsi="Calibri"/>
                <w:sz w:val="22"/>
              </w:rPr>
              <w:t>Meaningful decel from Q1; accel on 2-yr stack</w:t>
            </w:r>
          </w:p>
        </w:tc>
        <w:tc>
          <w:tcPr>
            <w:tcW w:type="dxa" w:w="1234"/>
          </w:tcPr>
          <w:p>
            <w:r>
              <w:rPr>
                <w:rFonts w:ascii="Calibri" w:hAnsi="Calibri"/>
                <w:sz w:val="22"/>
              </w:rPr>
              <w:t>In line with guidance</w:t>
            </w:r>
          </w:p>
        </w:tc>
      </w:tr>
      <w:tr>
        <w:tc>
          <w:tcPr>
            <w:tcW w:type="dxa" w:w="1234"/>
          </w:tcPr>
          <w:p>
            <w:r>
              <w:rPr>
                <w:rFonts w:ascii="Calibri" w:hAnsi="Calibri"/>
                <w:sz w:val="22"/>
              </w:rPr>
              <w:t>IDLC Comparable Sales (%)</w:t>
            </w:r>
          </w:p>
        </w:tc>
        <w:tc>
          <w:tcPr>
            <w:tcW w:type="dxa" w:w="1234"/>
          </w:tcPr>
          <w:p>
            <w:r>
              <w:rPr>
                <w:rFonts w:ascii="Calibri" w:hAnsi="Calibri"/>
                <w:sz w:val="22"/>
              </w:rPr>
              <w:t>+3.4%</w:t>
            </w:r>
          </w:p>
        </w:tc>
        <w:tc>
          <w:tcPr>
            <w:tcW w:type="dxa" w:w="1234"/>
          </w:tcPr>
          <w:p>
            <w:r>
              <w:rPr>
                <w:rFonts w:ascii="Calibri" w:hAnsi="Calibri"/>
                <w:sz w:val="22"/>
              </w:rPr>
              <w:t>+5.6%</w:t>
            </w:r>
          </w:p>
        </w:tc>
        <w:tc>
          <w:tcPr>
            <w:tcW w:type="dxa" w:w="1234"/>
          </w:tcPr>
          <w:p>
            <w:r>
              <w:rPr>
                <w:rFonts w:ascii="Calibri" w:hAnsi="Calibri"/>
                <w:sz w:val="22"/>
              </w:rPr>
              <w:t>+1.8%</w:t>
            </w:r>
          </w:p>
        </w:tc>
        <w:tc>
          <w:tcPr>
            <w:tcW w:type="dxa" w:w="1234"/>
          </w:tcPr>
          <w:p>
            <w:r>
              <w:rPr>
                <w:rFonts w:ascii="Calibri" w:hAnsi="Calibri"/>
                <w:sz w:val="22"/>
              </w:rPr>
              <w:t>-380 bps YoY</w:t>
            </w:r>
          </w:p>
        </w:tc>
        <w:tc>
          <w:tcPr>
            <w:tcW w:type="dxa" w:w="1234"/>
          </w:tcPr>
          <w:p>
            <w:r>
              <w:rPr>
                <w:rFonts w:ascii="Calibri" w:hAnsi="Calibri"/>
                <w:sz w:val="22"/>
              </w:rPr>
              <w:t>Decel from Q1; Middle East &amp; Asia volatility</w:t>
            </w:r>
          </w:p>
        </w:tc>
        <w:tc>
          <w:tcPr>
            <w:tcW w:type="dxa" w:w="1234"/>
          </w:tcPr>
          <w:p>
            <w:r>
              <w:rPr>
                <w:rFonts w:ascii="Calibri" w:hAnsi="Calibri"/>
                <w:sz w:val="22"/>
              </w:rPr>
              <w:t>In line with guidance</w:t>
            </w:r>
          </w:p>
        </w:tc>
      </w:tr>
      <w:tr>
        <w:tc>
          <w:tcPr>
            <w:tcW w:type="dxa" w:w="1234"/>
          </w:tcPr>
          <w:p>
            <w:r>
              <w:rPr>
                <w:rFonts w:ascii="Calibri" w:hAnsi="Calibri"/>
                <w:sz w:val="22"/>
              </w:rPr>
              <w:t>Total Revenues ($B)</w:t>
            </w:r>
          </w:p>
        </w:tc>
        <w:tc>
          <w:tcPr>
            <w:tcW w:type="dxa" w:w="1234"/>
          </w:tcPr>
          <w:p>
            <w:r>
              <w:rPr>
                <w:rFonts w:ascii="Calibri" w:hAnsi="Calibri"/>
                <w:sz w:val="22"/>
              </w:rPr>
              <w:t>$6.52B</w:t>
            </w:r>
          </w:p>
        </w:tc>
        <w:tc>
          <w:tcPr>
            <w:tcW w:type="dxa" w:w="1234"/>
          </w:tcPr>
          <w:p>
            <w:r>
              <w:rPr>
                <w:rFonts w:ascii="Calibri" w:hAnsi="Calibri"/>
                <w:sz w:val="22"/>
              </w:rPr>
              <w:t>$6.84B</w:t>
            </w:r>
          </w:p>
        </w:tc>
        <w:tc>
          <w:tcPr>
            <w:tcW w:type="dxa" w:w="1234"/>
          </w:tcPr>
          <w:p>
            <w:r>
              <w:rPr>
                <w:rFonts w:ascii="Calibri" w:hAnsi="Calibri"/>
                <w:sz w:val="22"/>
              </w:rPr>
              <w:t>$7.13B</w:t>
            </w:r>
          </w:p>
        </w:tc>
        <w:tc>
          <w:tcPr>
            <w:tcW w:type="dxa" w:w="1234"/>
          </w:tcPr>
          <w:p>
            <w:r>
              <w:rPr>
                <w:rFonts w:ascii="Calibri" w:hAnsi="Calibri"/>
                <w:sz w:val="22"/>
              </w:rPr>
              <w:t>+4.2% YoY</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$3.00B</w:t>
            </w:r>
          </w:p>
        </w:tc>
        <w:tc>
          <w:tcPr>
            <w:tcW w:type="dxa" w:w="1234"/>
          </w:tcPr>
          <w:p>
            <w:r>
              <w:rPr>
                <w:rFonts w:ascii="Calibri" w:hAnsi="Calibri"/>
                <w:sz w:val="22"/>
              </w:rPr>
              <w:t>$3.28B</w:t>
            </w:r>
          </w:p>
        </w:tc>
        <w:tc>
          <w:tcPr>
            <w:tcW w:type="dxa" w:w="1234"/>
          </w:tcPr>
          <w:p>
            <w:r>
              <w:rPr>
                <w:rFonts w:ascii="Calibri" w:hAnsi="Calibri"/>
                <w:sz w:val="22"/>
              </w:rPr>
              <w:t>$3.40B</w:t>
            </w:r>
          </w:p>
        </w:tc>
        <w:tc>
          <w:tcPr>
            <w:tcW w:type="dxa" w:w="1234"/>
          </w:tcPr>
          <w:p>
            <w:r>
              <w:rPr>
                <w:rFonts w:ascii="Calibri" w:hAnsi="Calibri"/>
                <w:sz w:val="22"/>
              </w:rPr>
              <w:t>+3.7% YoY</w:t>
            </w:r>
          </w:p>
        </w:tc>
        <w:tc>
          <w:tcPr>
            <w:tcW w:type="dxa" w:w="1234"/>
          </w:tcPr>
          <w:p>
            <w:r>
              <w:rPr>
                <w:rFonts w:ascii="Calibri" w:hAnsi="Calibri"/>
                <w:sz w:val="22"/>
              </w:rPr>
              <w:t>FY op. margin mid-to-high 40% range</w:t>
            </w:r>
          </w:p>
        </w:tc>
        <w:tc>
          <w:tcPr>
            <w:tcW w:type="dxa" w:w="1234"/>
          </w:tcPr>
          <w:p>
            <w:r>
              <w:rPr>
                <w:rFonts w:ascii="Calibri" w:hAnsi="Calibri"/>
                <w:sz w:val="22"/>
              </w:rPr>
              <w:t>Consistent with FY guide</w:t>
            </w:r>
          </w:p>
        </w:tc>
      </w:tr>
    </w:tbl>
    <w:p>
      <w:r>
        <w:rPr>
          <w:rFonts w:ascii="Calibri" w:hAnsi="Calibri"/>
          <w:color w:val="525866"/>
          <w:sz w:val="22"/>
        </w:rPr>
        <w:t>Sources: Visible Alpha consensus and actuals data (Operating EPS, Total Comparable Sales, U.S. Comparable Sales, IOM Comparable Sales, IDLC Comparable Sales, Total Revenues, Operating Income). Q2 2026 consensus as of August 3, 2026. Q1 2026 actuals and Q2 2025 actuals from Visible Alpha reported figures.</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KPI 1: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$2.83</w:t>
            </w:r>
          </w:p>
        </w:tc>
        <w:tc>
          <w:tcPr>
            <w:tcW w:type="dxa" w:w="1728"/>
          </w:tcPr>
          <w:p>
            <w:r>
              <w:rPr>
                <w:rFonts w:ascii="Calibri" w:hAnsi="Calibri"/>
                <w:sz w:val="22"/>
              </w:rPr>
              <w:t>$2.74</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$3.12</w:t>
            </w:r>
          </w:p>
        </w:tc>
        <w:tc>
          <w:tcPr>
            <w:tcW w:type="dxa" w:w="1728"/>
          </w:tcPr>
          <w:p>
            <w:r>
              <w:rPr>
                <w:rFonts w:ascii="Calibri" w:hAnsi="Calibri"/>
                <w:sz w:val="22"/>
              </w:rPr>
              <w:t>$3.04</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$3.22</w:t>
            </w:r>
          </w:p>
        </w:tc>
        <w:tc>
          <w:tcPr>
            <w:tcW w:type="dxa" w:w="1728"/>
          </w:tcPr>
          <w:p>
            <w:r>
              <w:rPr>
                <w:rFonts w:ascii="Calibri" w:hAnsi="Calibri"/>
                <w:sz w:val="22"/>
              </w:rPr>
              <w:t>$3.33</w:t>
            </w:r>
          </w:p>
        </w:tc>
        <w:tc>
          <w:tcPr>
            <w:tcW w:type="dxa" w:w="1728"/>
          </w:tcPr>
          <w:p>
            <w:r>
              <w:rPr>
                <w:rFonts w:ascii="Calibri" w:hAnsi="Calibri"/>
                <w:b/>
                <w:color w:val="E5484D"/>
                <w:sz w:val="22"/>
              </w:rPr>
              <w:t>-3.3%</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$3.19</w:t>
            </w:r>
          </w:p>
        </w:tc>
        <w:tc>
          <w:tcPr>
            <w:tcW w:type="dxa" w:w="1728"/>
          </w:tcPr>
          <w:p>
            <w:r>
              <w:rPr>
                <w:rFonts w:ascii="Calibri" w:hAnsi="Calibri"/>
                <w:sz w:val="22"/>
              </w:rPr>
              <w:t>$3.13</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$2.67</w:t>
            </w:r>
          </w:p>
        </w:tc>
        <w:tc>
          <w:tcPr>
            <w:tcW w:type="dxa" w:w="1728"/>
          </w:tcPr>
          <w:p>
            <w:r>
              <w:rPr>
                <w:rFonts w:ascii="Calibri" w:hAnsi="Calibri"/>
                <w:sz w:val="22"/>
              </w:rPr>
              <w:t>$2.67</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$2.83</w:t>
            </w:r>
          </w:p>
        </w:tc>
        <w:tc>
          <w:tcPr>
            <w:tcW w:type="dxa" w:w="1728"/>
          </w:tcPr>
          <w:p>
            <w:r>
              <w:rPr>
                <w:rFonts w:ascii="Calibri" w:hAnsi="Calibri"/>
                <w:sz w:val="22"/>
              </w:rPr>
              <w:t>$2.87</w:t>
            </w:r>
          </w:p>
        </w:tc>
        <w:tc>
          <w:tcPr>
            <w:tcW w:type="dxa" w:w="1728"/>
          </w:tcPr>
          <w:p>
            <w:r>
              <w:rPr>
                <w:rFonts w:ascii="Calibri" w:hAnsi="Calibri"/>
                <w:b/>
                <w:color w:val="E5484D"/>
                <w:sz w:val="22"/>
              </w:rPr>
              <w:t>-1.4%</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$3.23</w:t>
            </w:r>
          </w:p>
        </w:tc>
        <w:tc>
          <w:tcPr>
            <w:tcW w:type="dxa" w:w="1728"/>
          </w:tcPr>
          <w:p>
            <w:r>
              <w:rPr>
                <w:rFonts w:ascii="Calibri" w:hAnsi="Calibri"/>
                <w:sz w:val="22"/>
              </w:rPr>
              <w:t>$3.20</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Total Global Comparable Sales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w:t>
            </w:r>
          </w:p>
        </w:tc>
        <w:tc>
          <w:tcPr>
            <w:tcW w:type="dxa" w:w="1728"/>
          </w:tcPr>
          <w:p>
            <w:r>
              <w:rPr>
                <w:rFonts w:ascii="Calibri" w:hAnsi="Calibri"/>
                <w:sz w:val="22"/>
              </w:rPr>
              <w:t>+3.7%</w:t>
            </w:r>
          </w:p>
        </w:tc>
        <w:tc>
          <w:tcPr>
            <w:tcW w:type="dxa" w:w="1728"/>
          </w:tcPr>
          <w:p>
            <w:r>
              <w:rPr>
                <w:rFonts w:ascii="Calibri" w:hAnsi="Calibri"/>
                <w:b/>
                <w:color w:val="30A46C"/>
                <w:sz w:val="22"/>
              </w:rPr>
              <w:t>+10 bps</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+5.7%</w:t>
            </w:r>
          </w:p>
        </w:tc>
        <w:tc>
          <w:tcPr>
            <w:tcW w:type="dxa" w:w="1728"/>
          </w:tcPr>
          <w:p>
            <w:r>
              <w:rPr>
                <w:rFonts w:ascii="Calibri" w:hAnsi="Calibri"/>
                <w:sz w:val="22"/>
              </w:rPr>
              <w:t>+3.7%</w:t>
            </w:r>
          </w:p>
        </w:tc>
        <w:tc>
          <w:tcPr>
            <w:tcW w:type="dxa" w:w="1728"/>
          </w:tcPr>
          <w:p>
            <w:r>
              <w:rPr>
                <w:rFonts w:ascii="Calibri" w:hAnsi="Calibri"/>
                <w:b/>
                <w:color w:val="30A46C"/>
                <w:sz w:val="22"/>
              </w:rPr>
              <w:t>+200 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+3.6%</w:t>
            </w:r>
          </w:p>
        </w:tc>
        <w:tc>
          <w:tcPr>
            <w:tcW w:type="dxa" w:w="1728"/>
          </w:tcPr>
          <w:p>
            <w:r>
              <w:rPr>
                <w:rFonts w:ascii="Calibri" w:hAnsi="Calibri"/>
                <w:sz w:val="22"/>
              </w:rPr>
              <w:t>+3.6%</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+3.8%</w:t>
            </w:r>
          </w:p>
        </w:tc>
        <w:tc>
          <w:tcPr>
            <w:tcW w:type="dxa" w:w="1728"/>
          </w:tcPr>
          <w:p>
            <w:r>
              <w:rPr>
                <w:rFonts w:ascii="Calibri" w:hAnsi="Calibri"/>
                <w:sz w:val="22"/>
              </w:rPr>
              <w:t>+2.5%</w:t>
            </w:r>
          </w:p>
        </w:tc>
        <w:tc>
          <w:tcPr>
            <w:tcW w:type="dxa" w:w="1728"/>
          </w:tcPr>
          <w:p>
            <w:r>
              <w:rPr>
                <w:rFonts w:ascii="Calibri" w:hAnsi="Calibri"/>
                <w:b/>
                <w:color w:val="30A46C"/>
                <w:sz w:val="22"/>
              </w:rPr>
              <w:t>+130 bps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-1.0%</w:t>
            </w:r>
          </w:p>
        </w:tc>
        <w:tc>
          <w:tcPr>
            <w:tcW w:type="dxa" w:w="1728"/>
          </w:tcPr>
          <w:p>
            <w:r>
              <w:rPr>
                <w:rFonts w:ascii="Calibri" w:hAnsi="Calibri"/>
                <w:sz w:val="22"/>
              </w:rPr>
              <w:t>+0.3%</w:t>
            </w:r>
          </w:p>
        </w:tc>
        <w:tc>
          <w:tcPr>
            <w:tcW w:type="dxa" w:w="1728"/>
          </w:tcPr>
          <w:p>
            <w:r>
              <w:rPr>
                <w:rFonts w:ascii="Calibri" w:hAnsi="Calibri"/>
                <w:b/>
                <w:color w:val="E5484D"/>
                <w:sz w:val="22"/>
              </w:rPr>
              <w:t>-130 bps</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+0.4%</w:t>
            </w:r>
          </w:p>
        </w:tc>
        <w:tc>
          <w:tcPr>
            <w:tcW w:type="dxa" w:w="1728"/>
          </w:tcPr>
          <w:p>
            <w:r>
              <w:rPr>
                <w:rFonts w:ascii="Calibri" w:hAnsi="Calibri"/>
                <w:sz w:val="22"/>
              </w:rPr>
              <w:t>-0.4%</w:t>
            </w:r>
          </w:p>
        </w:tc>
        <w:tc>
          <w:tcPr>
            <w:tcW w:type="dxa" w:w="1728"/>
          </w:tcPr>
          <w:p>
            <w:r>
              <w:rPr>
                <w:rFonts w:ascii="Calibri" w:hAnsi="Calibri"/>
                <w:b/>
                <w:color w:val="30A46C"/>
                <w:sz w:val="22"/>
              </w:rPr>
              <w:t>+80 bps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-1.5%</w:t>
            </w:r>
          </w:p>
        </w:tc>
        <w:tc>
          <w:tcPr>
            <w:tcW w:type="dxa" w:w="1728"/>
          </w:tcPr>
          <w:p>
            <w:r>
              <w:rPr>
                <w:rFonts w:ascii="Calibri" w:hAnsi="Calibri"/>
                <w:sz w:val="22"/>
              </w:rPr>
              <w:t>-0.6%</w:t>
            </w:r>
          </w:p>
        </w:tc>
        <w:tc>
          <w:tcPr>
            <w:tcW w:type="dxa" w:w="1728"/>
          </w:tcPr>
          <w:p>
            <w:r>
              <w:rPr>
                <w:rFonts w:ascii="Calibri" w:hAnsi="Calibri"/>
                <w:b/>
                <w:color w:val="E5484D"/>
                <w:sz w:val="22"/>
              </w:rPr>
              <w:t>-90 bps</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MCD has beaten or matched on global comps in 5 of the last 7 reported quarters, with the two misses (Q3 2024, Q1 2025) coinciding with the E. coli food safety incident and its aftermath. EPS beats have been more consistent, with only two misses in the trailing 7 quarters. The bar for Q2 2026 is the lowest set in recent history, suggesting the risk of a comp beat is higher than the headline deceleration implies.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in full on the Q1 call with no post-earnings revisions; tone is cautiously confident on value execution but incrementally more guarded on the macro and cost inflation outlook heading into year-end.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Margin</w:t>
            </w:r>
          </w:p>
        </w:tc>
        <w:tc>
          <w:tcPr>
            <w:tcW w:type="dxa" w:w="1728"/>
          </w:tcPr>
          <w:p>
            <w:r>
              <w:rPr>
                <w:rFonts w:ascii="Calibri" w:hAnsi="Calibri"/>
                <w:sz w:val="22"/>
              </w:rPr>
              <w:t>Mid-to-high 40% range</w:t>
            </w:r>
          </w:p>
        </w:tc>
        <w:tc>
          <w:tcPr>
            <w:tcW w:type="dxa" w:w="1728"/>
          </w:tcPr>
          <w:p>
            <w:r>
              <w:rPr>
                <w:rFonts w:ascii="Calibri" w:hAnsi="Calibri"/>
                <w:sz w:val="22"/>
              </w:rPr>
              <w:t>—</w:t>
            </w:r>
          </w:p>
        </w:tc>
        <w:tc>
          <w:tcPr>
            <w:tcW w:type="dxa" w:w="1728"/>
          </w:tcPr>
          <w:p>
            <w:r>
              <w:rPr>
                <w:rFonts w:ascii="Calibri" w:hAnsi="Calibri"/>
                <w:sz w:val="22"/>
              </w:rPr>
              <w:t>~47% (implied by consensus)</w:t>
            </w:r>
          </w:p>
        </w:tc>
        <w:tc>
          <w:tcPr>
            <w:tcW w:type="dxa" w:w="1728"/>
          </w:tcPr>
          <w:p>
            <w:r>
              <w:rPr>
                <w:rFonts w:ascii="Calibri" w:hAnsi="Calibri"/>
                <w:sz w:val="22"/>
              </w:rPr>
              <w:t>Unchanged; reaffirmed on Q1 call</w:t>
            </w:r>
          </w:p>
        </w:tc>
      </w:tr>
      <w:tr>
        <w:tc>
          <w:tcPr>
            <w:tcW w:type="dxa" w:w="1728"/>
          </w:tcPr>
          <w:p>
            <w:r>
              <w:rPr>
                <w:rFonts w:ascii="Calibri" w:hAnsi="Calibri"/>
                <w:sz w:val="22"/>
              </w:rPr>
              <w:t>FY 2026 Gross Restaurant Openings</w:t>
            </w:r>
          </w:p>
        </w:tc>
        <w:tc>
          <w:tcPr>
            <w:tcW w:type="dxa" w:w="1728"/>
          </w:tcPr>
          <w:p>
            <w:r>
              <w:rPr>
                <w:rFonts w:ascii="Calibri" w:hAnsi="Calibri"/>
                <w:sz w:val="22"/>
              </w:rPr>
              <w:t>~2,600 gross openings</w:t>
            </w:r>
          </w:p>
        </w:tc>
        <w:tc>
          <w:tcPr>
            <w:tcW w:type="dxa" w:w="1728"/>
          </w:tcPr>
          <w:p>
            <w:r>
              <w:rPr>
                <w:rFonts w:ascii="Calibri" w:hAnsi="Calibri"/>
                <w:sz w:val="22"/>
              </w:rPr>
              <w:t>—</w:t>
            </w:r>
          </w:p>
        </w:tc>
        <w:tc>
          <w:tcPr>
            <w:tcW w:type="dxa" w:w="1728"/>
          </w:tcPr>
          <w:p>
            <w:r>
              <w:rPr>
                <w:rFonts w:ascii="Calibri" w:hAnsi="Calibri"/>
                <w:sz w:val="22"/>
              </w:rPr>
              <w:t>~2,600 (in line)</w:t>
            </w:r>
          </w:p>
        </w:tc>
        <w:tc>
          <w:tcPr>
            <w:tcW w:type="dxa" w:w="1728"/>
          </w:tcPr>
          <w:p>
            <w:r>
              <w:rPr>
                <w:rFonts w:ascii="Calibri" w:hAnsi="Calibri"/>
                <w:sz w:val="22"/>
              </w:rPr>
              <w:t>Unchanged; pipeline under review for new construction costs</w:t>
            </w:r>
          </w:p>
        </w:tc>
      </w:tr>
      <w:tr>
        <w:tc>
          <w:tcPr>
            <w:tcW w:type="dxa" w:w="1728"/>
          </w:tcPr>
          <w:p>
            <w:r>
              <w:rPr>
                <w:rFonts w:ascii="Calibri" w:hAnsi="Calibri"/>
                <w:sz w:val="22"/>
              </w:rPr>
              <w:t>FY 2026 CapEx</w:t>
            </w:r>
          </w:p>
        </w:tc>
        <w:tc>
          <w:tcPr>
            <w:tcW w:type="dxa" w:w="1728"/>
          </w:tcPr>
          <w:p>
            <w:r>
              <w:rPr>
                <w:rFonts w:ascii="Calibri" w:hAnsi="Calibri"/>
                <w:sz w:val="22"/>
              </w:rPr>
              <w:t>In range guided at start of year (approx. $2.7–$3.0B)</w:t>
            </w:r>
          </w:p>
        </w:tc>
        <w:tc>
          <w:tcPr>
            <w:tcW w:type="dxa" w:w="1728"/>
          </w:tcPr>
          <w:p>
            <w:r>
              <w:rPr>
                <w:rFonts w:ascii="Calibri" w:hAnsi="Calibri"/>
                <w:sz w:val="22"/>
              </w:rPr>
              <w:t>—</w:t>
            </w:r>
          </w:p>
        </w:tc>
        <w:tc>
          <w:tcPr>
            <w:tcW w:type="dxa" w:w="1728"/>
          </w:tcPr>
          <w:p>
            <w:r>
              <w:rPr>
                <w:rFonts w:ascii="Calibri" w:hAnsi="Calibri"/>
                <w:sz w:val="22"/>
              </w:rPr>
              <w:t>~$2.8B (consensus)</w:t>
            </w:r>
          </w:p>
        </w:tc>
        <w:tc>
          <w:tcPr>
            <w:tcW w:type="dxa" w:w="1728"/>
          </w:tcPr>
          <w:p>
            <w:r>
              <w:rPr>
                <w:rFonts w:ascii="Calibri" w:hAnsi="Calibri"/>
                <w:sz w:val="22"/>
              </w:rPr>
              <w:t>Unchanged; remodel cycle beginning adds upward pressure</w:t>
            </w:r>
          </w:p>
        </w:tc>
      </w:tr>
      <w:tr>
        <w:tc>
          <w:tcPr>
            <w:tcW w:type="dxa" w:w="1728"/>
          </w:tcPr>
          <w:p>
            <w:r>
              <w:rPr>
                <w:rFonts w:ascii="Calibri" w:hAnsi="Calibri"/>
                <w:sz w:val="22"/>
              </w:rPr>
              <w:t>FY 2026 FX Impact on EPS</w:t>
            </w:r>
          </w:p>
        </w:tc>
        <w:tc>
          <w:tcPr>
            <w:tcW w:type="dxa" w:w="1728"/>
          </w:tcPr>
          <w:p>
            <w:r>
              <w:rPr>
                <w:rFonts w:ascii="Calibri" w:hAnsi="Calibri"/>
                <w:sz w:val="22"/>
              </w:rPr>
              <w:t>$0.20–$0.30 full-year tailwind</w:t>
            </w:r>
          </w:p>
        </w:tc>
        <w:tc>
          <w:tcPr>
            <w:tcW w:type="dxa" w:w="1728"/>
          </w:tcPr>
          <w:p>
            <w:r>
              <w:rPr>
                <w:rFonts w:ascii="Calibri" w:hAnsi="Calibri"/>
                <w:sz w:val="22"/>
              </w:rPr>
              <w:t>—</w:t>
            </w:r>
          </w:p>
        </w:tc>
        <w:tc>
          <w:tcPr>
            <w:tcW w:type="dxa" w:w="1728"/>
          </w:tcPr>
          <w:p>
            <w:r>
              <w:rPr>
                <w:rFonts w:ascii="Calibri" w:hAnsi="Calibri"/>
                <w:sz w:val="22"/>
              </w:rPr>
              <w:t>Baked into consensus EPS of ~$12.91</w:t>
            </w:r>
          </w:p>
        </w:tc>
        <w:tc>
          <w:tcPr>
            <w:tcW w:type="dxa" w:w="1728"/>
          </w:tcPr>
          <w:p>
            <w:r>
              <w:rPr>
                <w:rFonts w:ascii="Calibri" w:hAnsi="Calibri"/>
                <w:sz w:val="22"/>
              </w:rPr>
              <w:t>Directional only; rates subject to change</w:t>
            </w:r>
          </w:p>
        </w:tc>
      </w:tr>
      <w:tr>
        <w:tc>
          <w:tcPr>
            <w:tcW w:type="dxa" w:w="1728"/>
          </w:tcPr>
          <w:p>
            <w:r>
              <w:rPr>
                <w:rFonts w:ascii="Calibri" w:hAnsi="Calibri"/>
                <w:sz w:val="22"/>
              </w:rPr>
              <w:t>U.S. Food &amp; Paper Inflation (FY 2026)</w:t>
            </w:r>
          </w:p>
        </w:tc>
        <w:tc>
          <w:tcPr>
            <w:tcW w:type="dxa" w:w="1728"/>
          </w:tcPr>
          <w:p>
            <w:r>
              <w:rPr>
                <w:rFonts w:ascii="Calibri" w:hAnsi="Calibri"/>
                <w:sz w:val="22"/>
              </w:rPr>
              <w:t>Low-to-mid single digits</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Beef inflation flagged as particularly elevated; hedging in place through 2026</w:t>
            </w:r>
          </w:p>
        </w:tc>
      </w:tr>
      <w:tr>
        <w:tc>
          <w:tcPr>
            <w:tcW w:type="dxa" w:w="1728"/>
          </w:tcPr>
          <w:p>
            <w:r>
              <w:rPr>
                <w:rFonts w:ascii="Calibri" w:hAnsi="Calibri"/>
                <w:sz w:val="22"/>
              </w:rPr>
              <w:t>IOM Food &amp; Paper Inflation (FY 2026)</w:t>
            </w:r>
          </w:p>
        </w:tc>
        <w:tc>
          <w:tcPr>
            <w:tcW w:type="dxa" w:w="1728"/>
          </w:tcPr>
          <w:p>
            <w:r>
              <w:rPr>
                <w:rFonts w:ascii="Calibri" w:hAnsi="Calibri"/>
                <w:sz w:val="22"/>
              </w:rPr>
              <w:t>Mid single digits</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Longer-term risk flagged; supply chain disruptions and Middle East conflict cited</w:t>
            </w:r>
          </w:p>
        </w:tc>
      </w:tr>
      <w:tr>
        <w:tc>
          <w:tcPr>
            <w:tcW w:type="dxa" w:w="1728"/>
          </w:tcPr>
          <w:p>
            <w:r>
              <w:rPr>
                <w:rFonts w:ascii="Calibri" w:hAnsi="Calibri"/>
                <w:sz w:val="22"/>
              </w:rPr>
              <w:t>Q2 2026 Comparable Sales (Qualitative)</w:t>
            </w:r>
          </w:p>
        </w:tc>
        <w:tc>
          <w:tcPr>
            <w:tcW w:type="dxa" w:w="1728"/>
          </w:tcPr>
          <w:p>
            <w:r>
              <w:rPr>
                <w:rFonts w:ascii="Calibri" w:hAnsi="Calibri"/>
                <w:sz w:val="22"/>
              </w:rPr>
              <w:t>Meaningful decel from Q1 3.9% (U.S. &amp; IOM); accel on 2-yr stack</w:t>
            </w:r>
          </w:p>
        </w:tc>
        <w:tc>
          <w:tcPr>
            <w:tcW w:type="dxa" w:w="1728"/>
          </w:tcPr>
          <w:p>
            <w:r>
              <w:rPr>
                <w:rFonts w:ascii="Calibri" w:hAnsi="Calibri"/>
                <w:sz w:val="22"/>
              </w:rPr>
              <w:t>—</w:t>
            </w:r>
          </w:p>
        </w:tc>
        <w:tc>
          <w:tcPr>
            <w:tcW w:type="dxa" w:w="1728"/>
          </w:tcPr>
          <w:p>
            <w:r>
              <w:rPr>
                <w:rFonts w:ascii="Calibri" w:hAnsi="Calibri"/>
                <w:sz w:val="22"/>
              </w:rPr>
              <w:t>U.S. ~+0.8%; IOM ~+1.4%; Total ~+1.2%</w:t>
            </w:r>
          </w:p>
        </w:tc>
        <w:tc>
          <w:tcPr>
            <w:tcW w:type="dxa" w:w="1728"/>
          </w:tcPr>
          <w:p>
            <w:r>
              <w:rPr>
                <w:rFonts w:ascii="Calibri" w:hAnsi="Calibri"/>
                <w:sz w:val="22"/>
              </w:rPr>
              <w:t>Consensus consistent with guidance; April was slightly negative (Minecraft lap)</w:t>
            </w:r>
          </w:p>
        </w:tc>
      </w:tr>
      <w:tr>
        <w:tc>
          <w:tcPr>
            <w:tcW w:type="dxa" w:w="1728"/>
          </w:tcPr>
          <w:p>
            <w:r>
              <w:rPr>
                <w:rFonts w:ascii="Calibri" w:hAnsi="Calibri"/>
                <w:sz w:val="22"/>
              </w:rPr>
              <w:t>U.S. McOpCo Margins</w:t>
            </w:r>
          </w:p>
        </w:tc>
        <w:tc>
          <w:tcPr>
            <w:tcW w:type="dxa" w:w="1728"/>
          </w:tcPr>
          <w:p>
            <w:r>
              <w:rPr>
                <w:rFonts w:ascii="Calibri" w:hAnsi="Calibri"/>
                <w:sz w:val="22"/>
              </w:rPr>
              <w:t>"Not acceptable" in Q1; active review underway</w:t>
            </w:r>
          </w:p>
        </w:tc>
        <w:tc>
          <w:tcPr>
            <w:tcW w:type="dxa" w:w="1728"/>
          </w:tcPr>
          <w:p>
            <w:r>
              <w:rPr>
                <w:rFonts w:ascii="Calibri" w:hAnsi="Calibri"/>
                <w:sz w:val="22"/>
              </w:rPr>
              <w:t>—</w:t>
            </w:r>
          </w:p>
        </w:tc>
        <w:tc>
          <w:tcPr>
            <w:tcW w:type="dxa" w:w="1728"/>
          </w:tcPr>
          <w:p>
            <w:r>
              <w:rPr>
                <w:rFonts w:ascii="Calibri" w:hAnsi="Calibri"/>
                <w:sz w:val="22"/>
              </w:rPr>
              <w:t>N/A — not separately guided</w:t>
            </w:r>
          </w:p>
        </w:tc>
        <w:tc>
          <w:tcPr>
            <w:tcW w:type="dxa" w:w="1728"/>
          </w:tcPr>
          <w:p>
            <w:r>
              <w:rPr>
                <w:rFonts w:ascii="Calibri" w:hAnsi="Calibri"/>
                <w:sz w:val="22"/>
              </w:rPr>
              <w:t>Refranchising review ongoing; updates expected at Sept. 23 Investor Day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2026 operating EPS down ~0.3% and U.S. comps down ~50 bps — tracking management's own guidance for deceleration. The gap is not alarming, but the direction of revisions is negative, suggesting the Street is not building in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Print (May 14,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Operating EPS — Q2 2026</w:t>
            </w:r>
          </w:p>
        </w:tc>
        <w:tc>
          <w:tcPr>
            <w:tcW w:type="dxa" w:w="1080"/>
          </w:tcPr>
          <w:p>
            <w:r>
              <w:rPr>
                <w:rFonts w:ascii="Calibri" w:hAnsi="Calibri"/>
                <w:sz w:val="22"/>
              </w:rPr>
              <w:t>$3.33</w:t>
            </w:r>
          </w:p>
        </w:tc>
        <w:tc>
          <w:tcPr>
            <w:tcW w:type="dxa" w:w="1080"/>
          </w:tcPr>
          <w:p>
            <w:r>
              <w:rPr>
                <w:rFonts w:ascii="Calibri" w:hAnsi="Calibri"/>
                <w:sz w:val="22"/>
              </w:rPr>
              <w:t>$3.32</w:t>
            </w:r>
          </w:p>
        </w:tc>
        <w:tc>
          <w:tcPr>
            <w:tcW w:type="dxa" w:w="1080"/>
          </w:tcPr>
          <w:p>
            <w:r>
              <w:rPr>
                <w:rFonts w:ascii="Calibri" w:hAnsi="Calibri"/>
                <w:sz w:val="22"/>
              </w:rPr>
              <w:t>-0.3%</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$12.97</w:t>
            </w:r>
          </w:p>
        </w:tc>
        <w:tc>
          <w:tcPr>
            <w:tcW w:type="dxa" w:w="1080"/>
          </w:tcPr>
          <w:p>
            <w:r>
              <w:rPr>
                <w:rFonts w:ascii="Calibri" w:hAnsi="Calibri"/>
                <w:sz w:val="22"/>
              </w:rPr>
              <w:t>$12.91</w:t>
            </w:r>
          </w:p>
        </w:tc>
        <w:tc>
          <w:tcPr>
            <w:tcW w:type="dxa" w:w="1080"/>
          </w:tcPr>
          <w:p>
            <w:r>
              <w:rPr>
                <w:rFonts w:ascii="Calibri" w:hAnsi="Calibri"/>
                <w:sz w:val="22"/>
              </w:rPr>
              <w:t>-0.5%</w:t>
            </w:r>
          </w:p>
        </w:tc>
        <w:tc>
          <w:tcPr>
            <w:tcW w:type="dxa" w:w="1080"/>
          </w:tcPr>
          <w:p>
            <w:r>
              <w:rPr>
                <w:rFonts w:ascii="Calibri" w:hAnsi="Calibri"/>
                <w:sz w:val="22"/>
              </w:rPr>
              <w:t>FY targets reaffirmed; FX tailwind $0.20–$0.30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downward drift vs. guidance</w:t>
            </w:r>
          </w:p>
        </w:tc>
      </w:tr>
      <w:tr>
        <w:tc>
          <w:tcPr>
            <w:tcW w:type="dxa" w:w="1080"/>
          </w:tcPr>
          <w:p>
            <w:r>
              <w:rPr>
                <w:rFonts w:ascii="Calibri" w:hAnsi="Calibri"/>
                <w:sz w:val="22"/>
              </w:rPr>
              <w:t>Total Comparable Sales — Q2 2026</w:t>
            </w:r>
          </w:p>
        </w:tc>
        <w:tc>
          <w:tcPr>
            <w:tcW w:type="dxa" w:w="1080"/>
          </w:tcPr>
          <w:p>
            <w:r>
              <w:rPr>
                <w:rFonts w:ascii="Calibri" w:hAnsi="Calibri"/>
                <w:sz w:val="22"/>
              </w:rPr>
              <w:t>+1.50%</w:t>
            </w:r>
          </w:p>
        </w:tc>
        <w:tc>
          <w:tcPr>
            <w:tcW w:type="dxa" w:w="1080"/>
          </w:tcPr>
          <w:p>
            <w:r>
              <w:rPr>
                <w:rFonts w:ascii="Calibri" w:hAnsi="Calibri"/>
                <w:sz w:val="22"/>
              </w:rPr>
              <w:t>+1.19%</w:t>
            </w:r>
          </w:p>
        </w:tc>
        <w:tc>
          <w:tcPr>
            <w:tcW w:type="dxa" w:w="1080"/>
          </w:tcPr>
          <w:p>
            <w:r>
              <w:rPr>
                <w:rFonts w:ascii="Calibri" w:hAnsi="Calibri"/>
                <w:sz w:val="22"/>
              </w:rPr>
              <w:t>-21 bps</w:t>
            </w:r>
          </w:p>
        </w:tc>
        <w:tc>
          <w:tcPr>
            <w:tcW w:type="dxa" w:w="1080"/>
          </w:tcPr>
          <w:p>
            <w:r>
              <w:rPr>
                <w:rFonts w:ascii="Calibri" w:hAnsi="Calibri"/>
                <w:sz w:val="22"/>
              </w:rPr>
              <w:t>Meaningful decel from Q1; accel on 2-yr stack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Total Comparable Sales — FY 2026</w:t>
            </w:r>
          </w:p>
        </w:tc>
        <w:tc>
          <w:tcPr>
            <w:tcW w:type="dxa" w:w="1080"/>
          </w:tcPr>
          <w:p>
            <w:r>
              <w:rPr>
                <w:rFonts w:ascii="Calibri" w:hAnsi="Calibri"/>
                <w:sz w:val="22"/>
              </w:rPr>
              <w:t>+2.40%</w:t>
            </w:r>
          </w:p>
        </w:tc>
        <w:tc>
          <w:tcPr>
            <w:tcW w:type="dxa" w:w="1080"/>
          </w:tcPr>
          <w:p>
            <w:r>
              <w:rPr>
                <w:rFonts w:ascii="Calibri" w:hAnsi="Calibri"/>
                <w:sz w:val="22"/>
              </w:rPr>
              <w:t>+2.24%</w:t>
            </w:r>
          </w:p>
        </w:tc>
        <w:tc>
          <w:tcPr>
            <w:tcW w:type="dxa" w:w="1080"/>
          </w:tcPr>
          <w:p>
            <w:r>
              <w:rPr>
                <w:rFonts w:ascii="Calibri" w:hAnsi="Calibri"/>
                <w:sz w:val="22"/>
              </w:rPr>
              <w:t>-16 bps</w:t>
            </w:r>
          </w:p>
        </w:tc>
        <w:tc>
          <w:tcPr>
            <w:tcW w:type="dxa" w:w="1080"/>
          </w:tcPr>
          <w:p>
            <w:r>
              <w:rPr>
                <w:rFonts w:ascii="Calibri" w:hAnsi="Calibri"/>
                <w:sz w:val="22"/>
              </w:rPr>
              <w:t>FY targets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Modest downward drift</w:t>
            </w:r>
          </w:p>
        </w:tc>
      </w:tr>
      <w:tr>
        <w:tc>
          <w:tcPr>
            <w:tcW w:type="dxa" w:w="1080"/>
          </w:tcPr>
          <w:p>
            <w:r>
              <w:rPr>
                <w:rFonts w:ascii="Calibri" w:hAnsi="Calibri"/>
                <w:sz w:val="22"/>
              </w:rPr>
              <w:t>U.S. Comparable Sales — Q2 2026</w:t>
            </w:r>
          </w:p>
        </w:tc>
        <w:tc>
          <w:tcPr>
            <w:tcW w:type="dxa" w:w="1080"/>
          </w:tcPr>
          <w:p>
            <w:r>
              <w:rPr>
                <w:rFonts w:ascii="Calibri" w:hAnsi="Calibri"/>
                <w:sz w:val="22"/>
              </w:rPr>
              <w:t>+1.30%</w:t>
            </w:r>
          </w:p>
        </w:tc>
        <w:tc>
          <w:tcPr>
            <w:tcW w:type="dxa" w:w="1080"/>
          </w:tcPr>
          <w:p>
            <w:r>
              <w:rPr>
                <w:rFonts w:ascii="Calibri" w:hAnsi="Calibri"/>
                <w:sz w:val="22"/>
              </w:rPr>
              <w:t>+0.76%</w:t>
            </w:r>
          </w:p>
        </w:tc>
        <w:tc>
          <w:tcPr>
            <w:tcW w:type="dxa" w:w="1080"/>
          </w:tcPr>
          <w:p>
            <w:r>
              <w:rPr>
                <w:rFonts w:ascii="Calibri" w:hAnsi="Calibri"/>
                <w:sz w:val="22"/>
              </w:rPr>
              <w:t>-54 bps</w:t>
            </w:r>
          </w:p>
        </w:tc>
        <w:tc>
          <w:tcPr>
            <w:tcW w:type="dxa" w:w="1080"/>
          </w:tcPr>
          <w:p>
            <w:r>
              <w:rPr>
                <w:rFonts w:ascii="Calibri" w:hAnsi="Calibri"/>
                <w:sz w:val="22"/>
              </w:rPr>
              <w:t>Meaningful decel from Q1; accel on 2-yr stack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 largest downward revision</w:t>
            </w:r>
          </w:p>
        </w:tc>
      </w:tr>
      <w:tr>
        <w:tc>
          <w:tcPr>
            <w:tcW w:type="dxa" w:w="1080"/>
          </w:tcPr>
          <w:p>
            <w:r>
              <w:rPr>
                <w:rFonts w:ascii="Calibri" w:hAnsi="Calibri"/>
                <w:sz w:val="22"/>
              </w:rPr>
              <w:t>U.S. Comparable Sales — FY 2026</w:t>
            </w:r>
          </w:p>
        </w:tc>
        <w:tc>
          <w:tcPr>
            <w:tcW w:type="dxa" w:w="1080"/>
          </w:tcPr>
          <w:p>
            <w:r>
              <w:rPr>
                <w:rFonts w:ascii="Calibri" w:hAnsi="Calibri"/>
                <w:sz w:val="22"/>
              </w:rPr>
              <w:t>+2.23%</w:t>
            </w:r>
          </w:p>
        </w:tc>
        <w:tc>
          <w:tcPr>
            <w:tcW w:type="dxa" w:w="1080"/>
          </w:tcPr>
          <w:p>
            <w:r>
              <w:rPr>
                <w:rFonts w:ascii="Calibri" w:hAnsi="Calibri"/>
                <w:sz w:val="22"/>
              </w:rPr>
              <w:t>+1.95%</w:t>
            </w:r>
          </w:p>
        </w:tc>
        <w:tc>
          <w:tcPr>
            <w:tcW w:type="dxa" w:w="1080"/>
          </w:tcPr>
          <w:p>
            <w:r>
              <w:rPr>
                <w:rFonts w:ascii="Calibri" w:hAnsi="Calibri"/>
                <w:sz w:val="22"/>
              </w:rPr>
              <w:t>-28 bps</w:t>
            </w:r>
          </w:p>
        </w:tc>
        <w:tc>
          <w:tcPr>
            <w:tcW w:type="dxa" w:w="1080"/>
          </w:tcPr>
          <w:p>
            <w:r>
              <w:rPr>
                <w:rFonts w:ascii="Calibri" w:hAnsi="Calibri"/>
                <w:sz w:val="22"/>
              </w:rPr>
              <w:t>FY targets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Modest downward drift</w:t>
            </w:r>
          </w:p>
        </w:tc>
      </w:tr>
    </w:tbl>
    <w:p>
      <w:r>
        <w:rPr>
          <w:rFonts w:ascii="Calibri" w:hAnsi="Calibri"/>
          <w:color w:val="525866"/>
          <w:sz w:val="22"/>
        </w:rPr>
        <w:t>Source: Visible Alpha consensus data. Post-Q1 baseline uses May 14, 2026 as-of date (approximately 5 trading days after the May 7 print). The most notable revision is the U.S. comp estimate, which has fallen ~54 bps since the Q1 print, reflecting the market absorbing management's April softness commentary. The downward drift in FY EPS (-0.5%) is modest and consistent with the FX tailwind partially offsetting cost inflation headwinds. Revisions are tracking guidance, not diverging from it — the gap represents cushion rather than risk.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MCD has underperformed both the S&amp;P 500 and the Consumer Discretionary ETF (XLY) since the Q1 print, with the decline driven almost entirely by multiple compression rather than estimate cuts — the EV/EBITDA multiple has contracted ~7% over 3 months, suggesting the market is repricing the growth outlook rather than reacting to a fundamental deterioration.</w:t>
      </w:r>
    </w:p>
    <w:p>
      <w:r>
        <w:rPr>
          <w:rFonts w:ascii="Calibri" w:hAnsi="Calibri"/>
          <w:color w:val="525866"/>
          <w:sz w:val="22"/>
        </w:rPr>
        <w:t xml:space="preserve">Since the Q1 2026 earnings release on May 7, 2026, MCD has declined approximately </w:t>
      </w:r>
      <w:r>
        <w:rPr>
          <w:rFonts w:ascii="Calibri" w:hAnsi="Calibri"/>
          <w:b/>
          <w:color w:val="525866"/>
          <w:sz w:val="22"/>
        </w:rPr>
        <w:t>-6.8%</w:t>
      </w:r>
      <w:r>
        <w:rPr>
          <w:rFonts w:ascii="Calibri" w:hAnsi="Calibri"/>
          <w:color w:val="525866"/>
          <w:sz w:val="22"/>
        </w:rPr>
        <w:t xml:space="preserve"> (from $283.70 to $270.64 at July 31 close), while the S&amp;P 500 (SPY) gained approximately </w:t>
      </w:r>
      <w:r>
        <w:rPr>
          <w:rFonts w:ascii="Calibri" w:hAnsi="Calibri"/>
          <w:b/>
          <w:color w:val="525866"/>
          <w:sz w:val="22"/>
        </w:rPr>
        <w:t>+2.1%</w:t>
      </w:r>
      <w:r>
        <w:rPr>
          <w:rFonts w:ascii="Calibri" w:hAnsi="Calibri"/>
          <w:color w:val="525866"/>
          <w:sz w:val="22"/>
        </w:rPr>
        <w:t xml:space="preserve"> and the Consumer Discretionary ETF (XLY) declined approximately </w:t>
      </w:r>
      <w:r>
        <w:rPr>
          <w:rFonts w:ascii="Calibri" w:hAnsi="Calibri"/>
          <w:b/>
          <w:color w:val="525866"/>
          <w:sz w:val="22"/>
        </w:rPr>
        <w:t>-2.2%</w:t>
      </w:r>
      <w:r>
        <w:rPr>
          <w:rFonts w:ascii="Calibri" w:hAnsi="Calibri"/>
          <w:color w:val="525866"/>
          <w:sz w:val="22"/>
        </w:rPr>
        <w:t xml:space="preserve"> over the same period. MCD's underperformance of ~890 bps vs. SPY reflects a combination of: (1) the macro-driven consumer caution narrative weighing on QSR multiples broadly; (2) the Cyclospora/food-safety industry scare in mid-July creating incremental uncertainty; and (3) the stock's elevated starting multiple (NTM P/E ~23.7x at Q1 print) leaving limited cushion. The stock reached a post-Q1 low of approximately $262.80 on July 23 before recovering modestly. The sector ETF used is </w:t>
      </w:r>
      <w:r>
        <w:rPr>
          <w:rFonts w:ascii="Calibri" w:hAnsi="Calibri"/>
          <w:b/>
          <w:color w:val="525866"/>
          <w:sz w:val="22"/>
        </w:rPr>
        <w:t>XLY (Consumer Discretionary Select Sector SPDR)</w:t>
      </w:r>
      <w:r>
        <w:rPr>
          <w:rFonts w:ascii="Calibri" w:hAnsi="Calibri"/>
          <w:color w:val="525866"/>
          <w:sz w:val="22"/>
        </w:rPr>
        <w:t>, which is appropriate given McDonald's classification as a consumer discretionary company and its significant weight in the ETF.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MCD Return</w:t>
            </w:r>
          </w:p>
        </w:tc>
        <w:tc>
          <w:tcPr>
            <w:tcW w:type="dxa" w:w="1728"/>
            <w:shd w:val="clear" w:color="auto" w:fill="3B4259"/>
          </w:tcPr>
          <w:p>
            <w:r>
              <w:rPr>
                <w:rFonts w:ascii="Calibri" w:hAnsi="Calibri"/>
                <w:b/>
                <w:color w:val="FFFFFF"/>
                <w:sz w:val="22"/>
              </w:rPr>
              <w:t>XLY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MCD vs. SPY</w:t>
            </w:r>
          </w:p>
        </w:tc>
      </w:tr>
      <w:tr>
        <w:tc>
          <w:tcPr>
            <w:tcW w:type="dxa" w:w="1728"/>
          </w:tcPr>
          <w:p>
            <w:r>
              <w:rPr>
                <w:rFonts w:ascii="Calibri" w:hAnsi="Calibri"/>
                <w:sz w:val="22"/>
              </w:rPr>
              <w:t>Since Q1 Print (May 7 – Jul 31)</w:t>
            </w:r>
          </w:p>
        </w:tc>
        <w:tc>
          <w:tcPr>
            <w:tcW w:type="dxa" w:w="1728"/>
          </w:tcPr>
          <w:p>
            <w:r>
              <w:rPr>
                <w:rFonts w:ascii="Calibri" w:hAnsi="Calibri"/>
                <w:b/>
                <w:color w:val="E5484D"/>
                <w:sz w:val="22"/>
              </w:rPr>
              <w:t>-6.8%</w:t>
            </w:r>
          </w:p>
        </w:tc>
        <w:tc>
          <w:tcPr>
            <w:tcW w:type="dxa" w:w="1728"/>
          </w:tcPr>
          <w:p>
            <w:r>
              <w:rPr>
                <w:rFonts w:ascii="Calibri" w:hAnsi="Calibri"/>
                <w:sz w:val="22"/>
              </w:rPr>
              <w:t>-2.2%</w:t>
            </w:r>
          </w:p>
        </w:tc>
        <w:tc>
          <w:tcPr>
            <w:tcW w:type="dxa" w:w="1728"/>
          </w:tcPr>
          <w:p>
            <w:r>
              <w:rPr>
                <w:rFonts w:ascii="Calibri" w:hAnsi="Calibri"/>
                <w:sz w:val="22"/>
              </w:rPr>
              <w:t>+2.1%</w:t>
            </w:r>
          </w:p>
        </w:tc>
        <w:tc>
          <w:tcPr>
            <w:tcW w:type="dxa" w:w="1728"/>
          </w:tcPr>
          <w:p>
            <w:r>
              <w:rPr>
                <w:rFonts w:ascii="Calibri" w:hAnsi="Calibri"/>
                <w:b/>
                <w:color w:val="E5484D"/>
                <w:sz w:val="22"/>
              </w:rPr>
              <w:t>-890 bps</w:t>
            </w:r>
          </w:p>
        </w:tc>
      </w:tr>
      <w:tr>
        <w:tc>
          <w:tcPr>
            <w:tcW w:type="dxa" w:w="1728"/>
          </w:tcPr>
          <w:p>
            <w:r>
              <w:rPr>
                <w:rFonts w:ascii="Calibri" w:hAnsi="Calibri"/>
                <w:sz w:val="22"/>
              </w:rPr>
              <w:t>1 Month (to Aug 3)</w:t>
            </w:r>
          </w:p>
        </w:tc>
        <w:tc>
          <w:tcPr>
            <w:tcW w:type="dxa" w:w="1728"/>
          </w:tcPr>
          <w:p>
            <w:r>
              <w:rPr>
                <w:rFonts w:ascii="Calibri" w:hAnsi="Calibri"/>
                <w:sz w:val="22"/>
              </w:rPr>
              <w:t>-5.5%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3 Month (to Aug 3)</w:t>
            </w:r>
          </w:p>
        </w:tc>
        <w:tc>
          <w:tcPr>
            <w:tcW w:type="dxa" w:w="1728"/>
          </w:tcPr>
          <w:p>
            <w:r>
              <w:rPr>
                <w:rFonts w:ascii="Calibri" w:hAnsi="Calibri"/>
                <w:sz w:val="22"/>
              </w:rPr>
              <w:t>-7.5%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NTM EV/EBITDA (current)</w:t>
            </w:r>
          </w:p>
        </w:tc>
        <w:tc>
          <w:tcPr>
            <w:tcW w:type="dxa" w:w="1728"/>
          </w:tcPr>
          <w:p>
            <w:r>
              <w:rPr>
                <w:rFonts w:ascii="Calibri" w:hAnsi="Calibri"/>
                <w:sz w:val="22"/>
              </w:rPr>
              <w:t>15.2x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vs. 16.4x 3 months ago (-7.0%)</w:t>
            </w:r>
          </w:p>
        </w:tc>
      </w:tr>
      <w:tr>
        <w:tc>
          <w:tcPr>
            <w:tcW w:type="dxa" w:w="1728"/>
          </w:tcPr>
          <w:p>
            <w:r>
              <w:rPr>
                <w:rFonts w:ascii="Calibri" w:hAnsi="Calibri"/>
                <w:sz w:val="22"/>
              </w:rPr>
              <w:t>NTM P/E (current)</w:t>
            </w:r>
          </w:p>
        </w:tc>
        <w:tc>
          <w:tcPr>
            <w:tcW w:type="dxa" w:w="1728"/>
          </w:tcPr>
          <w:p>
            <w:r>
              <w:rPr>
                <w:rFonts w:ascii="Calibri" w:hAnsi="Calibri"/>
                <w:sz w:val="22"/>
              </w:rPr>
              <w:t>19.9x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vs. 21.7x 3 months ago (-8.3%)</w:t>
            </w:r>
          </w:p>
        </w:tc>
      </w:tr>
    </w:tbl>
    <w:p>
      <w:r>
        <w:rPr>
          <w:rFonts w:ascii="Calibri" w:hAnsi="Calibri"/>
          <w:b/>
          <w:color w:val="525866"/>
          <w:sz w:val="22"/>
        </w:rPr>
        <w:t xml:space="preserve">Key events since Q1 print: </w:t>
      </w:r>
      <w:r>
        <w:rPr>
          <w:rFonts w:ascii="Calibri" w:hAnsi="Calibri"/>
          <w:color w:val="525866"/>
          <w:sz w:val="22"/>
        </w:rPr>
        <w:t>(1) May 7 — Q1 2026 earnings beat, stock opened lower on McOpCo margin concerns and April softness commentary; (2) June 16 — Yum! Brands announces Pizza Hut sale for $2.7B, sector re-rating; (3) July 14–15 — Cyclospora outbreak linked to Taco Bell lettuce, industry-wide food safety concerns emerge; (4) July 23 — MCD hits post-Q1 low of ~$262.80 amid peak food safety concern and macro uncertainty. Source: Yahoo Finance / Stock Price Data.</w:t>
      </w:r>
    </w:p>
    <w:p>
      <w:r>
        <w:br w:type="page"/>
      </w:r>
    </w:p>
    <w:p>
      <w:pPr>
        <w:pStyle w:val="Heading2"/>
      </w:pPr>
      <w:r>
        <w:rPr>
          <w:rFonts w:ascii="Calibri" w:hAnsi="Calibri"/>
          <w:b/>
          <w:color w:val="3B4259"/>
          <w:sz w:val="28"/>
        </w:rPr>
        <w:t>6. Peer Commentary &amp; Read-Throughs (Last 60 Days — Q2 2026 Current Quarter Only)</w:t>
      </w:r>
    </w:p>
    <w:p>
      <w:r>
        <w:rPr>
          <w:rFonts w:ascii="Calibri" w:hAnsi="Calibri"/>
          <w:b/>
          <w:color w:val="525866"/>
          <w:sz w:val="22"/>
        </w:rPr>
        <w:t xml:space="preserve">Key Takeaway: </w:t>
      </w:r>
      <w:r>
        <w:rPr>
          <w:rFonts w:ascii="Calibri" w:hAnsi="Calibri"/>
          <w:color w:val="525866"/>
          <w:sz w:val="22"/>
        </w:rPr>
        <w:t>Peer commentary from Chipotle (Q2 2026 results) and Yum! Brands (Q2 2026 results) is broadly constructive for McDonald's — both reported comp beats and raised guidance — but the Cyclospora/food-safety scare that emerged in mid-July is the most important industry read-through, with Chipotle noting ~200 bps of traffic softening in late July from heightened consumer caution. Shake Shack conference commentary (June 2026) flags peak beef inflation in June as a meaningful cost headwind for the quarter.</w:t>
      </w:r>
    </w:p>
    <w:p>
      <w:r>
        <w:rPr>
          <w:rFonts w:ascii="Calibri" w:hAnsi="Calibri"/>
          <w:b/>
          <w:color w:val="525866"/>
          <w:sz w:val="22"/>
        </w:rPr>
        <w:t xml:space="preserve">Note: </w:t>
      </w:r>
      <w:r>
        <w:rPr>
          <w:rFonts w:ascii="Calibri" w:hAnsi="Calibri"/>
          <w:color w:val="525866"/>
          <w:sz w:val="22"/>
        </w:rPr>
        <w:t>Only commentary pertaining to the April–June 2026 reporting quarter or contemporaneous post-Q1 2026 trends is included below. Prior-quarter retrospective commentary has been excluded.</w:t>
      </w:r>
    </w:p>
    <w:p>
      <w:pPr>
        <w:pStyle w:val="Heading3"/>
      </w:pPr>
      <w:r>
        <w:rPr>
          <w:rFonts w:ascii="Calibri" w:hAnsi="Calibri"/>
          <w:b/>
          <w:color w:val="3B4259"/>
          <w:sz w:val="24"/>
        </w:rPr>
        <w:t>Chipotle Mexican Grill (CMG) — Q2 2026 Earnings (Reported July 29, 2026)</w:t>
      </w:r>
    </w:p>
    <w:p>
      <w:pPr>
        <w:pStyle w:val="ListBullet"/>
        <w:ind w:left="360" w:hanging="360"/>
      </w:pPr>
      <w:r>
        <w:rPr>
          <w:rFonts w:ascii="Calibri" w:hAnsi="Calibri"/>
          <w:b/>
          <w:color w:val="525866"/>
          <w:sz w:val="22"/>
        </w:rPr>
        <w:t xml:space="preserve">Comp beat: </w:t>
      </w:r>
      <w:r>
        <w:rPr>
          <w:rFonts w:ascii="Calibri" w:hAnsi="Calibri"/>
          <w:color w:val="525866"/>
          <w:sz w:val="22"/>
        </w:rPr>
        <w:t xml:space="preserve">CMG reported Q2 2026 comparable sales of +2.2% vs. consensus of +1.3%, a 90 bps beat. The company raised its full-year comp guidance to +1–3% from flat. </w:t>
      </w:r>
    </w:p>
    <w:p>
      <w:pPr>
        <w:pStyle w:val="ListBullet"/>
        <w:ind w:left="360" w:hanging="360"/>
      </w:pPr>
      <w:r>
        <w:rPr>
          <w:rFonts w:ascii="Calibri" w:hAnsi="Calibri"/>
          <w:b/>
          <w:color w:val="525866"/>
          <w:sz w:val="22"/>
        </w:rPr>
        <w:t xml:space="preserve">Traffic improvement through the quarter: </w:t>
      </w:r>
      <w:r>
        <w:rPr>
          <w:rFonts w:ascii="Calibri" w:hAnsi="Calibri"/>
          <w:color w:val="525866"/>
          <w:sz w:val="22"/>
        </w:rPr>
        <w:t>"Traffic in the second quarter really improved throughout the quarter... and that momentum continued into the first half of July." This is a positive read-through for McDonald's May/June trends, suggesting the consumer environment improved after a soft April.</w:t>
      </w:r>
    </w:p>
    <w:p>
      <w:pPr>
        <w:pStyle w:val="ListBullet"/>
        <w:ind w:left="360" w:hanging="360"/>
      </w:pPr>
      <w:r>
        <w:rPr>
          <w:rFonts w:ascii="Calibri" w:hAnsi="Calibri"/>
          <w:b/>
          <w:color w:val="525866"/>
          <w:sz w:val="22"/>
        </w:rPr>
        <w:t xml:space="preserve">Late-July Cyclospora softening — most important read-through: </w:t>
      </w:r>
      <w:r>
        <w:rPr>
          <w:rFonts w:ascii="Calibri" w:hAnsi="Calibri"/>
          <w:color w:val="525866"/>
          <w:sz w:val="22"/>
        </w:rPr>
        <w:t>"In the second half of July, we did see a softening, you know, call it about 200 basis points or so right around the issue that's affecting the industry around Cyclospora... amid heightened consumer caution around the broader restaurant industry." This is a direct industry-wide signal that could affect McDonald's Q3 commentary and guidance tone, even though McDonald's was not implicated.</w:t>
      </w:r>
    </w:p>
    <w:p>
      <w:pPr>
        <w:pStyle w:val="ListBullet"/>
        <w:ind w:left="360" w:hanging="360"/>
      </w:pPr>
      <w:r>
        <w:rPr>
          <w:rFonts w:ascii="Calibri" w:hAnsi="Calibri"/>
          <w:b/>
          <w:color w:val="525866"/>
          <w:sz w:val="22"/>
        </w:rPr>
        <w:t xml:space="preserve">Value perception improving across income cohorts: </w:t>
      </w:r>
      <w:r>
        <w:rPr>
          <w:rFonts w:ascii="Calibri" w:hAnsi="Calibri"/>
          <w:color w:val="525866"/>
          <w:sz w:val="22"/>
        </w:rPr>
        <w:t>"The two cohorts that were under the most pressure — the younger cohort, the lower income cohort — they really have improved the most compared to everyone else." Gains were driven by menu innovation (Chipotle Honey Chicken, Cilantro Lime sauce), promotions (Match Day BOGO), and the revamped rewards program. Positive read-through for McDonald's McValue 2.0 and FIFA partnership effectiveness.</w:t>
      </w:r>
    </w:p>
    <w:p>
      <w:pPr>
        <w:pStyle w:val="ListBullet"/>
        <w:ind w:left="360" w:hanging="360"/>
      </w:pPr>
      <w:r>
        <w:rPr>
          <w:rFonts w:ascii="Calibri" w:hAnsi="Calibri"/>
          <w:b/>
          <w:color w:val="525866"/>
          <w:sz w:val="22"/>
        </w:rPr>
        <w:t xml:space="preserve">Beef and freight inflation: </w:t>
      </w:r>
      <w:r>
        <w:rPr>
          <w:rFonts w:ascii="Calibri" w:hAnsi="Calibri"/>
          <w:color w:val="525866"/>
          <w:sz w:val="22"/>
        </w:rPr>
        <w:t>"Cost of sales in the quarter were 29.7%, an increase of about 80 basis points from last year... inflation, primarily in beef and freight." Confirms elevated commodity cost pressure in Q2 that McDonald's would also face, though McDonald's hedging position may differ.</w:t>
      </w:r>
    </w:p>
    <w:p>
      <w:pPr>
        <w:pStyle w:val="ListBullet"/>
        <w:ind w:left="360" w:hanging="360"/>
      </w:pPr>
      <w:r>
        <w:rPr>
          <w:rFonts w:ascii="Calibri" w:hAnsi="Calibri"/>
          <w:b/>
          <w:color w:val="525866"/>
          <w:sz w:val="22"/>
        </w:rPr>
        <w:t xml:space="preserve">Pricing: </w:t>
      </w:r>
      <w:r>
        <w:rPr>
          <w:rFonts w:ascii="Calibri" w:hAnsi="Calibri"/>
          <w:color w:val="525866"/>
          <w:sz w:val="22"/>
        </w:rPr>
        <w:t>CMG took ~1.6% pricing in Q2, rising to mid-2% in Q3. The company noted that "value isn't just about discounting and price point — it's about convenience, execution, and menu innovation." Relevant framing for how McDonald's McValue 2.0 may be perceived.</w:t>
      </w:r>
    </w:p>
    <w:p>
      <w:pPr>
        <w:pStyle w:val="Heading3"/>
      </w:pPr>
      <w:r>
        <w:rPr>
          <w:rFonts w:ascii="Calibri" w:hAnsi="Calibri"/>
          <w:b/>
          <w:color w:val="3B4259"/>
          <w:sz w:val="24"/>
        </w:rPr>
        <w:t>Yum! Brands (YUM) — Q2 2026 Earnings (Reported July 30, 2026)</w:t>
      </w:r>
    </w:p>
    <w:p>
      <w:pPr>
        <w:pStyle w:val="ListBullet"/>
        <w:ind w:left="360" w:hanging="360"/>
      </w:pPr>
      <w:r>
        <w:rPr>
          <w:rFonts w:ascii="Calibri" w:hAnsi="Calibri"/>
          <w:b/>
          <w:color w:val="525866"/>
          <w:sz w:val="22"/>
        </w:rPr>
        <w:t xml:space="preserve">Strong Q2 results: </w:t>
      </w:r>
      <w:r>
        <w:rPr>
          <w:rFonts w:ascii="Calibri" w:hAnsi="Calibri"/>
          <w:color w:val="525866"/>
          <w:sz w:val="22"/>
        </w:rPr>
        <w:t>YUM reported Q2 EPS of $1.62 vs. consensus of $1.57 (+3.2% beat) and worldwide system sales growth of +5%. Taco Bell U.S. same-store sales grew +7% in Q2, outperforming. KFC and Pizza Hut modestly underperformed. Positive read-through for QSR demand in the April–June quarter.</w:t>
      </w:r>
    </w:p>
    <w:p>
      <w:pPr>
        <w:pStyle w:val="ListBullet"/>
        <w:ind w:left="360" w:hanging="360"/>
      </w:pPr>
      <w:r>
        <w:rPr>
          <w:rFonts w:ascii="Calibri" w:hAnsi="Calibri"/>
          <w:b/>
          <w:color w:val="525866"/>
          <w:sz w:val="22"/>
        </w:rPr>
        <w:t xml:space="preserve">Taco Bell post-Q2 food safety impact — key industry read-through: </w:t>
      </w:r>
      <w:r>
        <w:rPr>
          <w:rFonts w:ascii="Calibri" w:hAnsi="Calibri"/>
          <w:color w:val="525866"/>
          <w:sz w:val="22"/>
        </w:rPr>
        <w:t>Taco Bell U.S. same-store sales quarter-to-date through July 27 were -2%, with the "maximum impact to sales over the weekend of July 18th" following the Cyclospora outbreak. Recovery was underway: "In the subsequent week, sales declines have moderated materially and we are seeing steady improvement in day over day sales trends." McDonald's management will likely be asked about any spillover impact on its own traffic.</w:t>
      </w:r>
    </w:p>
    <w:p>
      <w:pPr>
        <w:pStyle w:val="ListBullet"/>
        <w:ind w:left="360" w:hanging="360"/>
      </w:pPr>
      <w:r>
        <w:rPr>
          <w:rFonts w:ascii="Calibri" w:hAnsi="Calibri"/>
          <w:b/>
          <w:color w:val="525866"/>
          <w:sz w:val="22"/>
        </w:rPr>
        <w:t xml:space="preserve">Value promotions driving digital engagement: </w:t>
      </w:r>
      <w:r>
        <w:rPr>
          <w:rFonts w:ascii="Calibri" w:hAnsi="Calibri"/>
          <w:color w:val="525866"/>
          <w:sz w:val="22"/>
        </w:rPr>
        <w:t>Taco Bell's $1 Enchirito and $1 Mexican Pizza Tuesday drops became "the two highest performing Tuesday drop promotions in brand history," generating "the most app traffic, the most app transactions, and the most loyalty acquisitions of any Tuesday drop ever." Confirms that aggressive value promotions drive digital engagement — a positive read-through for McDonald's McValue 2.0 and loyalty program.</w:t>
      </w:r>
    </w:p>
    <w:p>
      <w:pPr>
        <w:pStyle w:val="ListBullet"/>
        <w:ind w:left="360" w:hanging="360"/>
      </w:pPr>
      <w:r>
        <w:rPr>
          <w:rFonts w:ascii="Calibri" w:hAnsi="Calibri"/>
          <w:b/>
          <w:color w:val="525866"/>
          <w:sz w:val="22"/>
        </w:rPr>
        <w:t xml:space="preserve">KFC International strength: </w:t>
      </w:r>
      <w:r>
        <w:rPr>
          <w:rFonts w:ascii="Calibri" w:hAnsi="Calibri"/>
          <w:color w:val="525866"/>
          <w:sz w:val="22"/>
        </w:rPr>
        <w:t>UK delivered +8% same-store sales growth in Q2 driven by the Pickle Mania LTO; Asia delivered +6%; Japan accelerated +8 points from Q1; Korea delivered its sixth consecutive quarter of double-digit growth. Positive read-through for McDonald's IOM segment, which has similarly strong UK, Germany, and Australia performance.</w:t>
      </w:r>
    </w:p>
    <w:p>
      <w:pPr>
        <w:pStyle w:val="ListBullet"/>
        <w:ind w:left="360" w:hanging="360"/>
      </w:pPr>
      <w:r>
        <w:rPr>
          <w:rFonts w:ascii="Calibri" w:hAnsi="Calibri"/>
          <w:b/>
          <w:color w:val="525866"/>
          <w:sz w:val="22"/>
        </w:rPr>
        <w:t xml:space="preserve">Taco Bell Q3 margin pressure: </w:t>
      </w:r>
      <w:r>
        <w:rPr>
          <w:rFonts w:ascii="Calibri" w:hAnsi="Calibri"/>
          <w:color w:val="525866"/>
          <w:sz w:val="22"/>
        </w:rPr>
        <w:t>Q3 equity store-level margins guided to 19–21%, down from 26.2% in Q2, reflecting sales disruption and promotional investments. Limited direct read-through for McDonald's (different ownership structure), but signals that food safety events can compress margins materially even for well-capitalized operators.</w:t>
      </w:r>
    </w:p>
    <w:p>
      <w:pPr>
        <w:pStyle w:val="Heading3"/>
      </w:pPr>
      <w:r>
        <w:rPr>
          <w:rFonts w:ascii="Calibri" w:hAnsi="Calibri"/>
          <w:b/>
          <w:color w:val="3B4259"/>
          <w:sz w:val="24"/>
        </w:rPr>
        <w:t>Shake Shack (SHAK) — Oppenheimer Consumer Conference (June 8, 2026) &amp; William Blair Conference (June 4, 2026)</w:t>
      </w:r>
    </w:p>
    <w:p>
      <w:pPr>
        <w:pStyle w:val="ListBullet"/>
        <w:ind w:left="360" w:hanging="360"/>
      </w:pPr>
      <w:r>
        <w:rPr>
          <w:rFonts w:ascii="Calibri" w:hAnsi="Calibri"/>
          <w:b/>
          <w:color w:val="525866"/>
          <w:sz w:val="22"/>
        </w:rPr>
        <w:t xml:space="preserve">Peak beef inflation in June: </w:t>
      </w:r>
      <w:r>
        <w:rPr>
          <w:rFonts w:ascii="Calibri" w:hAnsi="Calibri"/>
          <w:color w:val="525866"/>
          <w:sz w:val="22"/>
        </w:rPr>
        <w:t>"Beef prices have gone up relative to what we were forecasting back in late April... June will be the highest beef prices that we've seen." Beef was running at "high teens" inflation in June vs. "mid-teens" four weeks prior. Direct cost read-through for McDonald's Q2 food and paper costs, where beef is a core input.</w:t>
      </w:r>
    </w:p>
    <w:p>
      <w:pPr>
        <w:pStyle w:val="ListBullet"/>
        <w:ind w:left="360" w:hanging="360"/>
      </w:pPr>
      <w:r>
        <w:rPr>
          <w:rFonts w:ascii="Calibri" w:hAnsi="Calibri"/>
          <w:b/>
          <w:color w:val="525866"/>
          <w:sz w:val="22"/>
        </w:rPr>
        <w:t xml:space="preserve">Fuel surcharges in supply chain: </w:t>
      </w:r>
      <w:r>
        <w:rPr>
          <w:rFonts w:ascii="Calibri" w:hAnsi="Calibri"/>
          <w:color w:val="525866"/>
          <w:sz w:val="22"/>
        </w:rPr>
        <w:t>"We're seeing fuel surcharges in our supply chain in our distribution network." Confirms broad-based cost pressure beyond just food commodities, relevant for McDonald's supply chain costs in Q2.</w:t>
      </w:r>
    </w:p>
    <w:p>
      <w:pPr>
        <w:pStyle w:val="ListBullet"/>
        <w:ind w:left="360" w:hanging="360"/>
      </w:pPr>
      <w:r>
        <w:rPr>
          <w:rFonts w:ascii="Calibri" w:hAnsi="Calibri"/>
          <w:b/>
          <w:color w:val="525866"/>
          <w:sz w:val="22"/>
        </w:rPr>
        <w:t xml:space="preserve">Industry traffic down broadly: </w:t>
      </w:r>
      <w:r>
        <w:rPr>
          <w:rFonts w:ascii="Calibri" w:hAnsi="Calibri"/>
          <w:color w:val="525866"/>
          <w:sz w:val="22"/>
        </w:rPr>
        <w:t>"Traffic is down as a whole... I'm not speaking just to our traffic. I'm speaking to the industry traffic." Shake Shack noted its own traffic growth was an exception, driven by its digital value program. Confirms the challenging traffic environment McDonald's is navigating with McValue 2.0.</w:t>
      </w:r>
    </w:p>
    <w:p>
      <w:pPr>
        <w:pStyle w:val="ListBullet"/>
        <w:ind w:left="360" w:hanging="360"/>
      </w:pPr>
      <w:r>
        <w:rPr>
          <w:rFonts w:ascii="Calibri" w:hAnsi="Calibri"/>
          <w:b/>
          <w:color w:val="525866"/>
          <w:sz w:val="22"/>
        </w:rPr>
        <w:t xml:space="preserve">Competitive pricing environment: </w:t>
      </w:r>
      <w:r>
        <w:rPr>
          <w:rFonts w:ascii="Calibri" w:hAnsi="Calibri"/>
          <w:color w:val="525866"/>
          <w:sz w:val="22"/>
        </w:rPr>
        <w:t>"You've got these very large scale organizations doing $3 meals and $5 this." Shake Shack explicitly cited McDonald's-style value offers as constraining its own pricing power. Confirms McDonald's is setting the competitive pricing floor in QSR, which limits its own ability to take price to offset inflation.</w:t>
      </w:r>
    </w:p>
    <w:p>
      <w:pPr>
        <w:pStyle w:val="ListBullet"/>
        <w:ind w:left="360" w:hanging="360"/>
      </w:pPr>
      <w:r>
        <w:rPr>
          <w:rFonts w:ascii="Calibri" w:hAnsi="Calibri"/>
          <w:b/>
          <w:color w:val="525866"/>
          <w:sz w:val="22"/>
        </w:rPr>
        <w:t xml:space="preserve">April was a "blip": </w:t>
      </w:r>
      <w:r>
        <w:rPr>
          <w:rFonts w:ascii="Calibri" w:hAnsi="Calibri"/>
          <w:color w:val="525866"/>
          <w:sz w:val="22"/>
        </w:rPr>
        <w:t>Shake Shack disclosed a -0.6% April comp but described it as "a blip on the radar screen," with January–March running at +4–5% and May/June expected to recover to ~+4%. Consistent with McDonald's own characterization of April as "isolated and discrete" due to the Minecraft lap.</w:t>
      </w:r>
    </w:p>
    <w:p>
      <w:pPr>
        <w:pStyle w:val="ListBullet"/>
        <w:ind w:left="360" w:hanging="360"/>
      </w:pPr>
      <w:r>
        <w:rPr>
          <w:rFonts w:ascii="Calibri" w:hAnsi="Calibri"/>
          <w:b/>
          <w:color w:val="525866"/>
          <w:sz w:val="22"/>
        </w:rPr>
        <w:t xml:space="preserve">World Cup tourism uncertainty: </w:t>
      </w:r>
      <w:r>
        <w:rPr>
          <w:rFonts w:ascii="Calibri" w:hAnsi="Calibri"/>
          <w:color w:val="525866"/>
          <w:sz w:val="22"/>
        </w:rPr>
        <w:t>Shake Shack removed World Cup revenue from its guide due to "less than optimized trends on the tourism rates in some of the cities" hosting matches. Limited direct read-through for McDonald's (broader footprint, less tourism-dependent), but suggests the FIFA partnership benefit may be harder to quantify than management implied.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mid-July Cyclospora/food-safety industry scare linked to Taco Bell, which created incremental consumer caution across QSR broadly and is the primary overhang heading into the Q2 print. McDonald's own operational story — McValue 2.0, national beverage launch, FIFA partnership — remains intact.</w:t>
      </w:r>
    </w:p>
    <w:p>
      <w:pPr>
        <w:pStyle w:val="ListBullet"/>
        <w:ind w:left="360" w:hanging="360"/>
      </w:pPr>
      <w:r>
        <w:rPr>
          <w:rFonts w:ascii="Calibri" w:hAnsi="Calibri"/>
          <w:b/>
          <w:color w:val="525866"/>
          <w:sz w:val="22"/>
        </w:rPr>
        <w:t xml:space="preserve">July 14–17, 2026 — Cyclospora outbreak linked to Taco Bell lettuce (industry-wide consumer caution): </w:t>
      </w:r>
      <w:r>
        <w:rPr>
          <w:rFonts w:ascii="Calibri" w:hAnsi="Calibri"/>
          <w:i/>
          <w:color w:val="525866"/>
          <w:sz w:val="22"/>
        </w:rPr>
        <w:t xml:space="preserve">Federal and state officials investigated Taco Bell and lettuce as potential sources in one of the largest U.S. cyclosporiasis outbreaks. Yum! Brands stock fell ~8% from the time Taco Bell was linked to the outbreak. Chipotle noted ~200 bps of traffic softening in late July from "heightened consumer caution around the broader restaurant industry." McDonald's experienced a consumer pullback during the outbreak but showed "tentative signs of stabilization" per news commentary. </w:t>
      </w:r>
      <w:r>
        <w:rPr>
          <w:rFonts w:ascii="Calibri" w:hAnsi="Calibri"/>
          <w:b/>
          <w:color w:val="525866"/>
          <w:sz w:val="22"/>
        </w:rPr>
        <w:t xml:space="preserve">Implication: </w:t>
      </w:r>
      <w:r>
        <w:rPr>
          <w:rFonts w:ascii="Calibri" w:hAnsi="Calibri"/>
          <w:color w:val="525866"/>
          <w:sz w:val="22"/>
        </w:rPr>
        <w:t>Management will be asked about any traffic impact in late July and early Q3; the tone of the Q3 outlook will be closely watched.</w:t>
      </w:r>
    </w:p>
    <w:p>
      <w:pPr>
        <w:pStyle w:val="ListBullet"/>
        <w:ind w:left="360" w:hanging="360"/>
      </w:pPr>
      <w:r>
        <w:rPr>
          <w:rFonts w:ascii="Calibri" w:hAnsi="Calibri"/>
          <w:b/>
          <w:color w:val="525866"/>
          <w:sz w:val="22"/>
        </w:rPr>
        <w:t xml:space="preserve">May 7, 2026 — Q1 2026 earnings beat; McOpCo margin flagged as "not acceptable": </w:t>
      </w:r>
      <w:r>
        <w:rPr>
          <w:rFonts w:ascii="Calibri" w:hAnsi="Calibri"/>
          <w:i/>
          <w:color w:val="525866"/>
          <w:sz w:val="22"/>
        </w:rPr>
        <w:t xml:space="preserve">McDonald's beat on both EPS ($2.83 vs. $2.74 consensus) and global comps (+3.8% vs. +3.7%). However, management explicitly called out U.S. company-operated restaurant margins as "not acceptable," attributing the underperformance to excess labor investment and overly conservative pricing. Active review of refranchising underway. </w:t>
      </w:r>
      <w:r>
        <w:rPr>
          <w:rFonts w:ascii="Calibri" w:hAnsi="Calibri"/>
          <w:b/>
          <w:color w:val="525866"/>
          <w:sz w:val="22"/>
        </w:rPr>
        <w:t xml:space="preserve">Implication: </w:t>
      </w:r>
      <w:r>
        <w:rPr>
          <w:rFonts w:ascii="Calibri" w:hAnsi="Calibri"/>
          <w:color w:val="525866"/>
          <w:sz w:val="22"/>
        </w:rPr>
        <w:t>Q2 McOpCo margin improvement (or lack thereof) will be a key focus; any refranchising announcement would be a positive catalyst.</w:t>
      </w:r>
    </w:p>
    <w:p>
      <w:pPr>
        <w:pStyle w:val="ListBullet"/>
        <w:ind w:left="360" w:hanging="360"/>
      </w:pPr>
      <w:r>
        <w:rPr>
          <w:rFonts w:ascii="Calibri" w:hAnsi="Calibri"/>
          <w:b/>
          <w:color w:val="525866"/>
          <w:sz w:val="22"/>
        </w:rPr>
        <w:t xml:space="preserve">Mid-April 2026 — McValue 2.0 relaunch with unanimous franchisee approval: </w:t>
      </w:r>
      <w:r>
        <w:rPr>
          <w:rFonts w:ascii="Calibri" w:hAnsi="Calibri"/>
          <w:i/>
          <w:color w:val="525866"/>
          <w:sz w:val="22"/>
        </w:rPr>
        <w:t xml:space="preserve">McDonald's relaunched its McValue platform with an under-$3 everyday menu and a $4 breakfast meal deal, receiving unanimous franchisee field vote approval. Early indicators were "in line with expectations" per the Q1 call. </w:t>
      </w:r>
      <w:r>
        <w:rPr>
          <w:rFonts w:ascii="Calibri" w:hAnsi="Calibri"/>
          <w:b/>
          <w:color w:val="525866"/>
          <w:sz w:val="22"/>
        </w:rPr>
        <w:t xml:space="preserve">Implication: </w:t>
      </w:r>
      <w:r>
        <w:rPr>
          <w:rFonts w:ascii="Calibri" w:hAnsi="Calibri"/>
          <w:color w:val="525866"/>
          <w:sz w:val="22"/>
        </w:rPr>
        <w:t>Q2 results will be the first full-quarter test of McValue 2.0; management commentary on franchisee economics and consumer adoption will be critical.</w:t>
      </w:r>
    </w:p>
    <w:p>
      <w:pPr>
        <w:pStyle w:val="ListBullet"/>
        <w:ind w:left="360" w:hanging="360"/>
      </w:pPr>
      <w:r>
        <w:rPr>
          <w:rFonts w:ascii="Calibri" w:hAnsi="Calibri"/>
          <w:b/>
          <w:color w:val="525866"/>
          <w:sz w:val="22"/>
        </w:rPr>
        <w:t xml:space="preserve">May 2026 — National McCafé beverage platform launch (refreshers and crafted sodas): </w:t>
      </w:r>
      <w:r>
        <w:rPr>
          <w:rFonts w:ascii="Calibri" w:hAnsi="Calibri"/>
          <w:i/>
          <w:color w:val="525866"/>
          <w:sz w:val="22"/>
        </w:rPr>
        <w:t xml:space="preserve">All U.S. restaurants began offering refreshers and crafted sodas under the McCafé brand. Germany and Canada also launched new beverage platforms concurrently. Red Bull-infused energy drinks planned for later in 2026. </w:t>
      </w:r>
      <w:r>
        <w:rPr>
          <w:rFonts w:ascii="Calibri" w:hAnsi="Calibri"/>
          <w:b/>
          <w:color w:val="525866"/>
          <w:sz w:val="22"/>
        </w:rPr>
        <w:t xml:space="preserve">Implication: </w:t>
      </w:r>
      <w:r>
        <w:rPr>
          <w:rFonts w:ascii="Calibri" w:hAnsi="Calibri"/>
          <w:color w:val="525866"/>
          <w:sz w:val="22"/>
        </w:rPr>
        <w:t>New category with potential to drive incremental check and traffic; Q2 will provide first read on consumer adoption and attach rates.</w:t>
      </w:r>
    </w:p>
    <w:p>
      <w:pPr>
        <w:pStyle w:val="ListBullet"/>
        <w:ind w:left="360" w:hanging="360"/>
      </w:pPr>
      <w:r>
        <w:rPr>
          <w:rFonts w:ascii="Calibri" w:hAnsi="Calibri"/>
          <w:b/>
          <w:color w:val="525866"/>
          <w:sz w:val="22"/>
        </w:rPr>
        <w:t xml:space="preserve">June 2026 — FIFA World Cup partnership activation: </w:t>
      </w:r>
      <w:r>
        <w:rPr>
          <w:rFonts w:ascii="Calibri" w:hAnsi="Calibri"/>
          <w:i/>
          <w:color w:val="525866"/>
          <w:sz w:val="22"/>
        </w:rPr>
        <w:t xml:space="preserve">McDonald's FIFA partnership activated in June, representing a key marketing catalyst management cited as a driver of May/June traffic recovery. Shake Shack noted some World Cup tourism softness in host cities, but McDonald's broader footprint is less tourism-dependent. </w:t>
      </w:r>
      <w:r>
        <w:rPr>
          <w:rFonts w:ascii="Calibri" w:hAnsi="Calibri"/>
          <w:b/>
          <w:color w:val="525866"/>
          <w:sz w:val="22"/>
        </w:rPr>
        <w:t xml:space="preserve">Implication: </w:t>
      </w:r>
      <w:r>
        <w:rPr>
          <w:rFonts w:ascii="Calibri" w:hAnsi="Calibri"/>
          <w:color w:val="525866"/>
          <w:sz w:val="22"/>
        </w:rPr>
        <w:t>FIFA-driven traffic lift in June is a potential upside driver vs. consensus; management will likely quantify the impact.</w:t>
      </w:r>
    </w:p>
    <w:p>
      <w:pPr>
        <w:pStyle w:val="ListBullet"/>
        <w:ind w:left="360" w:hanging="360"/>
      </w:pPr>
      <w:r>
        <w:rPr>
          <w:rFonts w:ascii="Calibri" w:hAnsi="Calibri"/>
          <w:b/>
          <w:color w:val="525866"/>
          <w:sz w:val="22"/>
        </w:rPr>
        <w:t xml:space="preserve">June 16, 2026 — Yum! Brands announces Pizza Hut sale for $2.7B + $4B buyback: </w:t>
      </w:r>
      <w:r>
        <w:rPr>
          <w:rFonts w:ascii="Calibri" w:hAnsi="Calibri"/>
          <w:i/>
          <w:color w:val="525866"/>
          <w:sz w:val="22"/>
        </w:rPr>
        <w:t xml:space="preserve">Yum! Brands agreed to sell Pizza Hut for $2.7 billion in two separate deals and approved a $4 billion stock buyback. The announcement sent Yum! stock higher and prompted sector-wide discussion of asset-light model optimization. </w:t>
      </w:r>
      <w:r>
        <w:rPr>
          <w:rFonts w:ascii="Calibri" w:hAnsi="Calibri"/>
          <w:b/>
          <w:color w:val="525866"/>
          <w:sz w:val="22"/>
        </w:rPr>
        <w:t xml:space="preserve">Implication: </w:t>
      </w:r>
      <w:r>
        <w:rPr>
          <w:rFonts w:ascii="Calibri" w:hAnsi="Calibri"/>
          <w:color w:val="525866"/>
          <w:sz w:val="22"/>
        </w:rPr>
        <w:t>Increases focus on McDonald's own refranchising review of U.S. company-operated stores; any update at the September 23 Investor Day would be a catalyst.</w:t>
      </w:r>
    </w:p>
    <w:p>
      <w:pPr>
        <w:pStyle w:val="ListBullet"/>
        <w:ind w:left="360" w:hanging="360"/>
      </w:pPr>
      <w:r>
        <w:rPr>
          <w:rFonts w:ascii="Calibri" w:hAnsi="Calibri"/>
          <w:b/>
          <w:color w:val="525866"/>
          <w:sz w:val="22"/>
        </w:rPr>
        <w:t xml:space="preserve">August 1–2, 2026 — Pre-earnings analyst commentary: </w:t>
      </w:r>
      <w:r>
        <w:rPr>
          <w:rFonts w:ascii="Calibri" w:hAnsi="Calibri"/>
          <w:i/>
          <w:color w:val="525866"/>
          <w:sz w:val="22"/>
        </w:rPr>
        <w:t xml:space="preserve">The Street is modeling total comparable sales of +1.4% (U.S. at +0.95%), operating margins of 45.2%, and EPS of $3.32 for Q2. Analysts expect discussion of challenges facing U.S. consumers, including elevated oil prices and reduced discretionary spending appetite. McDonald's is showing "tentative signs of stabilization" among fast food restaurants following the Cyclospora scare. </w:t>
      </w:r>
      <w:r>
        <w:rPr>
          <w:rFonts w:ascii="Calibri" w:hAnsi="Calibri"/>
          <w:b/>
          <w:color w:val="525866"/>
          <w:sz w:val="22"/>
        </w:rPr>
        <w:t xml:space="preserve">Implication: </w:t>
      </w:r>
      <w:r>
        <w:rPr>
          <w:rFonts w:ascii="Calibri" w:hAnsi="Calibri"/>
          <w:color w:val="525866"/>
          <w:sz w:val="22"/>
        </w:rPr>
        <w:t>The bar is low and well-telegraphed; a beat on comps or a constructive Q3 outlook would be the positive catalyst.</w:t>
      </w:r>
    </w:p>
    <w:p>
      <w:pPr>
        <w:pStyle w:val="ListBullet"/>
        <w:ind w:left="360" w:hanging="360"/>
      </w:pPr>
      <w:r>
        <w:rPr>
          <w:rFonts w:ascii="Calibri" w:hAnsi="Calibri"/>
          <w:b/>
          <w:color w:val="525866"/>
          <w:sz w:val="22"/>
        </w:rPr>
        <w:t xml:space="preserve">Ongoing — Elevated beef and fuel inflation: </w:t>
      </w:r>
      <w:r>
        <w:rPr>
          <w:rFonts w:ascii="Calibri" w:hAnsi="Calibri"/>
          <w:i/>
          <w:color w:val="525866"/>
          <w:sz w:val="22"/>
        </w:rPr>
        <w:t xml:space="preserve">Shake Shack flagged June as the "highest beef prices ever seen," running at high-teens inflation. Chipotle confirmed beef and freight inflation drove an 80 bps increase in cost of sales in Q2. McDonald's has hedging in place through 2026 but flagged "increased risk of higher cost inflation longer-term." </w:t>
      </w:r>
      <w:r>
        <w:rPr>
          <w:rFonts w:ascii="Calibri" w:hAnsi="Calibri"/>
          <w:b/>
          <w:color w:val="525866"/>
          <w:sz w:val="22"/>
        </w:rPr>
        <w:t xml:space="preserve">Implication: </w:t>
      </w:r>
      <w:r>
        <w:rPr>
          <w:rFonts w:ascii="Calibri" w:hAnsi="Calibri"/>
          <w:color w:val="525866"/>
          <w:sz w:val="22"/>
        </w:rPr>
        <w:t>Food and paper cost inflation is a headwind to franchised margins and McOpCo margins in Q2; management's commentary on H2 2026 cost trajectory will be closely watched.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three insider transactions since the Q1 print are 10b5-1 planned sales — no discretionary open-market selling and no open-market buying. The activity is routine and does not signal any unusual insider conviction in either direction.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Joseph M. Erlinger</w:t>
            </w:r>
          </w:p>
        </w:tc>
        <w:tc>
          <w:tcPr>
            <w:tcW w:type="dxa" w:w="1234"/>
          </w:tcPr>
          <w:p>
            <w:r>
              <w:rPr>
                <w:rFonts w:ascii="Calibri" w:hAnsi="Calibri"/>
                <w:sz w:val="22"/>
              </w:rPr>
              <w:t>President, McDonald's USA</w:t>
            </w:r>
          </w:p>
        </w:tc>
        <w:tc>
          <w:tcPr>
            <w:tcW w:type="dxa" w:w="1234"/>
          </w:tcPr>
          <w:p>
            <w:r>
              <w:rPr>
                <w:rFonts w:ascii="Calibri" w:hAnsi="Calibri"/>
                <w:sz w:val="22"/>
              </w:rPr>
              <w:t>10b5-1 Planned Sale</w:t>
            </w:r>
          </w:p>
        </w:tc>
        <w:tc>
          <w:tcPr>
            <w:tcW w:type="dxa" w:w="1234"/>
          </w:tcPr>
          <w:p>
            <w:r>
              <w:rPr>
                <w:rFonts w:ascii="Calibri" w:hAnsi="Calibri"/>
                <w:sz w:val="22"/>
              </w:rPr>
              <w:t>5,252 shares</w:t>
            </w:r>
          </w:p>
        </w:tc>
        <w:tc>
          <w:tcPr>
            <w:tcW w:type="dxa" w:w="1234"/>
          </w:tcPr>
          <w:p>
            <w:r>
              <w:rPr>
                <w:rFonts w:ascii="Calibri" w:hAnsi="Calibri"/>
                <w:sz w:val="22"/>
              </w:rPr>
              <w:t>June 10, 2026</w:t>
            </w:r>
          </w:p>
        </w:tc>
        <w:tc>
          <w:tcPr>
            <w:tcW w:type="dxa" w:w="1234"/>
          </w:tcPr>
          <w:p>
            <w:r>
              <w:rPr>
                <w:rFonts w:ascii="Calibri" w:hAnsi="Calibri"/>
                <w:sz w:val="22"/>
              </w:rPr>
              <w:t>June 10, 2026</w:t>
            </w:r>
          </w:p>
        </w:tc>
        <w:tc>
          <w:tcPr>
            <w:tcW w:type="dxa" w:w="1234"/>
          </w:tcPr>
          <w:p>
            <w:r>
              <w:rPr>
                <w:rFonts w:ascii="Calibri" w:hAnsi="Calibri"/>
                <w:sz w:val="22"/>
              </w:rPr>
              <w:t>Pre-planned; routine 10b5-1 plan execution</w:t>
            </w:r>
          </w:p>
        </w:tc>
      </w:tr>
      <w:tr>
        <w:tc>
          <w:tcPr>
            <w:tcW w:type="dxa" w:w="1234"/>
          </w:tcPr>
          <w:p>
            <w:r>
              <w:rPr>
                <w:rFonts w:ascii="Calibri" w:hAnsi="Calibri"/>
                <w:sz w:val="22"/>
              </w:rPr>
              <w:t>Desiree Ralls-Morrison</w:t>
            </w:r>
          </w:p>
        </w:tc>
        <w:tc>
          <w:tcPr>
            <w:tcW w:type="dxa" w:w="1234"/>
          </w:tcPr>
          <w:p>
            <w:r>
              <w:rPr>
                <w:rFonts w:ascii="Calibri" w:hAnsi="Calibri"/>
                <w:sz w:val="22"/>
              </w:rPr>
              <w:t>EVP, Chief Legal Officer</w:t>
            </w:r>
          </w:p>
        </w:tc>
        <w:tc>
          <w:tcPr>
            <w:tcW w:type="dxa" w:w="1234"/>
          </w:tcPr>
          <w:p>
            <w:r>
              <w:rPr>
                <w:rFonts w:ascii="Calibri" w:hAnsi="Calibri"/>
                <w:sz w:val="22"/>
              </w:rPr>
              <w:t>10b5-1 Planned Sale</w:t>
            </w:r>
          </w:p>
        </w:tc>
        <w:tc>
          <w:tcPr>
            <w:tcW w:type="dxa" w:w="1234"/>
          </w:tcPr>
          <w:p>
            <w:r>
              <w:rPr>
                <w:rFonts w:ascii="Calibri" w:hAnsi="Calibri"/>
                <w:sz w:val="22"/>
              </w:rPr>
              <w:t>2,763 shares</w:t>
            </w:r>
          </w:p>
        </w:tc>
        <w:tc>
          <w:tcPr>
            <w:tcW w:type="dxa" w:w="1234"/>
          </w:tcPr>
          <w:p>
            <w:r>
              <w:rPr>
                <w:rFonts w:ascii="Calibri" w:hAnsi="Calibri"/>
                <w:sz w:val="22"/>
              </w:rPr>
              <w:t>May 28, 2026</w:t>
            </w:r>
          </w:p>
        </w:tc>
        <w:tc>
          <w:tcPr>
            <w:tcW w:type="dxa" w:w="1234"/>
          </w:tcPr>
          <w:p>
            <w:r>
              <w:rPr>
                <w:rFonts w:ascii="Calibri" w:hAnsi="Calibri"/>
                <w:sz w:val="22"/>
              </w:rPr>
              <w:t>June 1, 2026</w:t>
            </w:r>
          </w:p>
        </w:tc>
        <w:tc>
          <w:tcPr>
            <w:tcW w:type="dxa" w:w="1234"/>
          </w:tcPr>
          <w:p>
            <w:r>
              <w:rPr>
                <w:rFonts w:ascii="Calibri" w:hAnsi="Calibri"/>
                <w:sz w:val="22"/>
              </w:rPr>
              <w:t>Pre-planned; routine 10b5-1 plan execution</w:t>
            </w:r>
          </w:p>
        </w:tc>
      </w:tr>
      <w:tr>
        <w:tc>
          <w:tcPr>
            <w:tcW w:type="dxa" w:w="1234"/>
          </w:tcPr>
          <w:p>
            <w:r>
              <w:rPr>
                <w:rFonts w:ascii="Calibri" w:hAnsi="Calibri"/>
                <w:sz w:val="22"/>
              </w:rPr>
              <w:t>Joseph M. Erlinger</w:t>
            </w:r>
          </w:p>
        </w:tc>
        <w:tc>
          <w:tcPr>
            <w:tcW w:type="dxa" w:w="1234"/>
          </w:tcPr>
          <w:p>
            <w:r>
              <w:rPr>
                <w:rFonts w:ascii="Calibri" w:hAnsi="Calibri"/>
                <w:sz w:val="22"/>
              </w:rPr>
              <w:t>President, McDonald's USA</w:t>
            </w:r>
          </w:p>
        </w:tc>
        <w:tc>
          <w:tcPr>
            <w:tcW w:type="dxa" w:w="1234"/>
          </w:tcPr>
          <w:p>
            <w:r>
              <w:rPr>
                <w:rFonts w:ascii="Calibri" w:hAnsi="Calibri"/>
                <w:sz w:val="22"/>
              </w:rPr>
              <w:t>10b5-1 Planned Sale</w:t>
            </w:r>
          </w:p>
        </w:tc>
        <w:tc>
          <w:tcPr>
            <w:tcW w:type="dxa" w:w="1234"/>
          </w:tcPr>
          <w:p>
            <w:r>
              <w:rPr>
                <w:rFonts w:ascii="Calibri" w:hAnsi="Calibri"/>
                <w:sz w:val="22"/>
              </w:rPr>
              <w:t>333 shares</w:t>
            </w:r>
          </w:p>
        </w:tc>
        <w:tc>
          <w:tcPr>
            <w:tcW w:type="dxa" w:w="1234"/>
          </w:tcPr>
          <w:p>
            <w:r>
              <w:rPr>
                <w:rFonts w:ascii="Calibri" w:hAnsi="Calibri"/>
                <w:sz w:val="22"/>
              </w:rPr>
              <w:t>May 26, 2026</w:t>
            </w:r>
          </w:p>
        </w:tc>
        <w:tc>
          <w:tcPr>
            <w:tcW w:type="dxa" w:w="1234"/>
          </w:tcPr>
          <w:p>
            <w:r>
              <w:rPr>
                <w:rFonts w:ascii="Calibri" w:hAnsi="Calibri"/>
                <w:sz w:val="22"/>
              </w:rPr>
              <w:t>May 27, 2026</w:t>
            </w:r>
          </w:p>
        </w:tc>
        <w:tc>
          <w:tcPr>
            <w:tcW w:type="dxa" w:w="1234"/>
          </w:tcPr>
          <w:p>
            <w:r>
              <w:rPr>
                <w:rFonts w:ascii="Calibri" w:hAnsi="Calibri"/>
                <w:sz w:val="22"/>
              </w:rPr>
              <w:t>Pre-planned; routine 10b5-1 plan execution</w:t>
            </w:r>
          </w:p>
        </w:tc>
      </w:tr>
    </w:tbl>
    <w:p>
      <w:r>
        <w:rPr>
          <w:rFonts w:ascii="Calibri" w:hAnsi="Calibri"/>
          <w:color w:val="525866"/>
          <w:sz w:val="22"/>
        </w:rPr>
        <w:t>Source: SEC Form 4 filings. All transactions are coded 'S' (sale/disposition) under pre-established 10b5-1 trading plans. No open-market discretionary purchases or sales were filed in the period. The absence of open-market buying at a stock price ~6–8% below the Q1 print is notable but not alarming given the 10b5-1 plan structure, which precludes opportunistic buying outside of plan windows.</w:t>
      </w:r>
    </w:p>
    <w:p>
      <w:r>
        <w:br w:type="page"/>
      </w:r>
    </w:p>
    <w:p>
      <w:pPr>
        <w:pStyle w:val="Heading2"/>
      </w:pPr>
      <w:r>
        <w:rPr>
          <w:rFonts w:ascii="Calibri" w:hAnsi="Calibri"/>
          <w:b/>
          <w:color w:val="3B4259"/>
          <w:sz w:val="28"/>
        </w:rPr>
        <w:t>9. Key Questions for Management</w:t>
      </w:r>
    </w:p>
    <w:p>
      <w:pPr>
        <w:pStyle w:val="ListNumber"/>
        <w:ind w:left="360" w:hanging="360"/>
      </w:pPr>
      <w:r>
        <w:rPr>
          <w:rFonts w:ascii="Calibri" w:hAnsi="Calibri"/>
          <w:b/>
          <w:color w:val="525866"/>
          <w:sz w:val="22"/>
        </w:rPr>
        <w:t xml:space="preserve">U.S. comparable sales trajectory in May and June: </w:t>
      </w:r>
      <w:r>
        <w:rPr>
          <w:rFonts w:ascii="Calibri" w:hAnsi="Calibri"/>
          <w:color w:val="525866"/>
          <w:sz w:val="22"/>
        </w:rPr>
        <w:t>April was slightly negative due to the Minecraft lap. Did May and June recover sufficiently to deliver positive Q2 U.S. comps? What was the two-year stack for the quarter, and does it show the acceleration management guided for?</w:t>
      </w:r>
    </w:p>
    <w:p>
      <w:pPr>
        <w:pStyle w:val="ListNumber"/>
        <w:ind w:left="360" w:hanging="360"/>
      </w:pPr>
      <w:r>
        <w:rPr>
          <w:rFonts w:ascii="Calibri" w:hAnsi="Calibri"/>
          <w:b/>
          <w:color w:val="525866"/>
          <w:sz w:val="22"/>
        </w:rPr>
        <w:t xml:space="preserve">McValue 2.0 consumer adoption and franchisee economics: </w:t>
      </w:r>
      <w:r>
        <w:rPr>
          <w:rFonts w:ascii="Calibri" w:hAnsi="Calibri"/>
          <w:color w:val="525866"/>
          <w:sz w:val="22"/>
        </w:rPr>
        <w:t>Early indicators were "in line with expectations" as of the Q1 call. What is the update on consumer awareness, attachment rates, and traffic lift from the under-$3 menu and $4 breakfast deal? Are franchisee economics holding up given beef inflation?</w:t>
      </w:r>
    </w:p>
    <w:p>
      <w:pPr>
        <w:pStyle w:val="ListNumber"/>
        <w:ind w:left="360" w:hanging="360"/>
      </w:pPr>
      <w:r>
        <w:rPr>
          <w:rFonts w:ascii="Calibri" w:hAnsi="Calibri"/>
          <w:b/>
          <w:color w:val="525866"/>
          <w:sz w:val="22"/>
        </w:rPr>
        <w:t xml:space="preserve">National beverage platform performance: </w:t>
      </w:r>
      <w:r>
        <w:rPr>
          <w:rFonts w:ascii="Calibri" w:hAnsi="Calibri"/>
          <w:color w:val="525866"/>
          <w:sz w:val="22"/>
        </w:rPr>
        <w:t>The McCafé refreshers and crafted sodas launched nationally in May. What are the early attach rates, average check impact, and consumer reception? Is the beverage platform on track to be a meaningful traffic and revenue driver?</w:t>
      </w:r>
    </w:p>
    <w:p>
      <w:pPr>
        <w:pStyle w:val="ListNumber"/>
        <w:ind w:left="360" w:hanging="360"/>
      </w:pPr>
      <w:r>
        <w:rPr>
          <w:rFonts w:ascii="Calibri" w:hAnsi="Calibri"/>
          <w:b/>
          <w:color w:val="525866"/>
          <w:sz w:val="22"/>
        </w:rPr>
        <w:t xml:space="preserve">FIFA World Cup impact: </w:t>
      </w:r>
      <w:r>
        <w:rPr>
          <w:rFonts w:ascii="Calibri" w:hAnsi="Calibri"/>
          <w:color w:val="525866"/>
          <w:sz w:val="22"/>
        </w:rPr>
        <w:t>Management cited the FIFA partnership as a key June catalyst. Can you quantify the traffic and sales lift from the World Cup activation? How did it compare to the Minecraft promotion from the prior year?</w:t>
      </w:r>
    </w:p>
    <w:p>
      <w:pPr>
        <w:pStyle w:val="ListNumber"/>
        <w:ind w:left="360" w:hanging="360"/>
      </w:pPr>
      <w:r>
        <w:rPr>
          <w:rFonts w:ascii="Calibri" w:hAnsi="Calibri"/>
          <w:b/>
          <w:color w:val="525866"/>
          <w:sz w:val="22"/>
        </w:rPr>
        <w:t xml:space="preserve">Cyclospora/food-safety industry scare — any McDonald's traffic impact: </w:t>
      </w:r>
      <w:r>
        <w:rPr>
          <w:rFonts w:ascii="Calibri" w:hAnsi="Calibri"/>
          <w:color w:val="525866"/>
          <w:sz w:val="22"/>
        </w:rPr>
        <w:t>Chipotle noted ~200 bps of traffic softening in late July from industry-wide consumer caution. Did McDonald's experience any measurable traffic impact in late July? What is the current trend heading into Q3?</w:t>
      </w:r>
    </w:p>
    <w:p>
      <w:pPr>
        <w:pStyle w:val="ListNumber"/>
        <w:ind w:left="360" w:hanging="360"/>
      </w:pPr>
      <w:r>
        <w:rPr>
          <w:rFonts w:ascii="Calibri" w:hAnsi="Calibri"/>
          <w:b/>
          <w:color w:val="525866"/>
          <w:sz w:val="22"/>
        </w:rPr>
        <w:t xml:space="preserve">U.S. McOpCo margin improvement: </w:t>
      </w:r>
      <w:r>
        <w:rPr>
          <w:rFonts w:ascii="Calibri" w:hAnsi="Calibri"/>
          <w:color w:val="525866"/>
          <w:sz w:val="22"/>
        </w:rPr>
        <w:t>Q1 margins were called "not acceptable." What specific actions have been taken on labor and pricing to improve company-operated restaurant margins in Q2? Is there a timeline for the refranchising review, and will there be an update before the September 23 Investor Day?</w:t>
      </w:r>
    </w:p>
    <w:p>
      <w:pPr>
        <w:pStyle w:val="ListNumber"/>
        <w:ind w:left="360" w:hanging="360"/>
      </w:pPr>
      <w:r>
        <w:rPr>
          <w:rFonts w:ascii="Calibri" w:hAnsi="Calibri"/>
          <w:b/>
          <w:color w:val="525866"/>
          <w:sz w:val="22"/>
        </w:rPr>
        <w:t xml:space="preserve">Cost inflation outlook for H2 2026 and 2027: </w:t>
      </w:r>
      <w:r>
        <w:rPr>
          <w:rFonts w:ascii="Calibri" w:hAnsi="Calibri"/>
          <w:color w:val="525866"/>
          <w:sz w:val="22"/>
        </w:rPr>
        <w:t>Beef inflation was at multi-year highs in June per peer commentary. How is McDonald's hedging position holding up, and what is the updated view on food and paper inflation for H2 2026? Is the "increased risk of higher cost inflation longer-term" commentary from Q1 still the right framing?</w:t>
      </w:r>
    </w:p>
    <w:p>
      <w:pPr>
        <w:pStyle w:val="ListNumber"/>
        <w:ind w:left="360" w:hanging="360"/>
      </w:pPr>
      <w:r>
        <w:rPr>
          <w:rFonts w:ascii="Calibri" w:hAnsi="Calibri"/>
          <w:b/>
          <w:color w:val="525866"/>
          <w:sz w:val="22"/>
        </w:rPr>
        <w:t xml:space="preserve">IOM segment — France underperformance and Middle East volatility: </w:t>
      </w:r>
      <w:r>
        <w:rPr>
          <w:rFonts w:ascii="Calibri" w:hAnsi="Calibri"/>
          <w:color w:val="525866"/>
          <w:sz w:val="22"/>
        </w:rPr>
        <w:t>France was called out as underperforming due to lack of value discipline in Q1. Has the situation improved? What is the impact of Middle East and Asia volatility on IDLC comps in Q2?</w:t>
      </w:r>
    </w:p>
    <w:p>
      <w:pPr>
        <w:pStyle w:val="ListNumber"/>
        <w:ind w:left="360" w:hanging="360"/>
      </w:pPr>
      <w:r>
        <w:rPr>
          <w:rFonts w:ascii="Calibri" w:hAnsi="Calibri"/>
          <w:b/>
          <w:color w:val="525866"/>
          <w:sz w:val="22"/>
        </w:rPr>
        <w:t xml:space="preserve">Restaurant development pipeline and remodel cycle: </w:t>
      </w:r>
      <w:r>
        <w:rPr>
          <w:rFonts w:ascii="Calibri" w:hAnsi="Calibri"/>
          <w:color w:val="525866"/>
          <w:sz w:val="22"/>
        </w:rPr>
        <w:t>Management flagged that new construction costs are rising due to supply chain challenges and that some pipeline locations may be dropped. What is the updated gross opening target for 2026, and what is the scope and timeline of the upcoming U.S./IOM remodel cycle?</w:t>
      </w:r>
    </w:p>
    <w:p>
      <w:pPr>
        <w:pStyle w:val="ListNumber"/>
        <w:ind w:left="360" w:hanging="360"/>
      </w:pPr>
      <w:r>
        <w:rPr>
          <w:rFonts w:ascii="Calibri" w:hAnsi="Calibri"/>
          <w:b/>
          <w:color w:val="525866"/>
          <w:sz w:val="22"/>
        </w:rPr>
        <w:t xml:space="preserve">September 23 Investor Day preview: </w:t>
      </w:r>
      <w:r>
        <w:rPr>
          <w:rFonts w:ascii="Calibri" w:hAnsi="Calibri"/>
          <w:color w:val="525866"/>
          <w:sz w:val="22"/>
        </w:rPr>
        <w:t>What topics will be covered at the Chicago Investor Day? Will there be updates on refranchising, the remodel cycle, the 50,000-restaurant target, and the digital/loyalty roadmap to 250 million active users?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