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hp-earnings-predictions--2026-08-06"/>
    <w:p>
      <w:pPr>
        <w:pStyle w:val="Heading1"/>
      </w:pPr>
      <w:r>
        <w:t xml:space="preserve">MCHP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(FQ1'27, Jun-qtr)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1.478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1.456B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(FQ1'27)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0.73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0.69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(FQ1'27)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~62.9% vs. cons ~62.75%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guide (FQ2'27, Sep-qtr)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1.60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1.54B (Sep-qtr, +9-10% QoQ vs Street +5-6%)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guide (FQ2'27, Sep-qtr)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0.80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0.76 (Sep-qtr)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 margin guide (FQ2'27)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~63.75% vs. cons ~63.4% (Sep-qtr, underutilization shrinking)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Data-center/AI megatrend revenue quantification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~undisclosed $ vs. cons ~no formal breakout (FY27 commentary)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+7.5% (FOLLOW-THROUGH)</w:t>
            </w:r>
          </w:p>
        </w:tc>
        <w:tc>
          <w:tcPr/>
          <w:p>
            <w:pPr>
              <w:pStyle w:val="Compact"/>
            </w:pPr>
            <w:r>
              <w:t xml:space="preserve">Bar was reset hard (-24% off June high, -33% peak-to-trough into print), so a June beat plus a double-digit sequential Sep guide well above the +5-6% Street bogey drives net-upward out-period revisions rather than implicit cuts; strong backlog/book-to-bill &gt;1 and shrinking underutilization charges reinforce upside, so an initial pop should see follow-through. Risk to fade: supply-constraint hedging capping shipments and COO-departure/continuity overhang could stall momentum, hence only modest follow-through and LOW confidence.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2026-08-06T01:02:19Z</dcterms:created>
  <dcterms:modified xsi:type="dcterms:W3CDTF">2026-08-06T01:02:19Z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