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Let me pull recent stock price action and the latest news/analyst commentary heading into the print.I have what I need. Let me write the preview.</w:t>
      </w:r>
    </w:p>
    <w:bookmarkStart w:id="21" w:name="X97bdd5f64d0bfdae23afd6c1419105ca9a8757f"/>
    <w:p>
      <w:pPr>
        <w:pStyle w:val="Heading1"/>
      </w:pPr>
      <w:r>
        <w:t xml:space="preserve">Microchip Technology (MCHP) — Earnings Preview</w:t>
      </w:r>
    </w:p>
    <w:bookmarkStart w:id="9" w:name="X1cf9a76a4adbfaf93bb7ab877390593c1e1b280"/>
    <w:p>
      <w:pPr>
        <w:pStyle w:val="Heading3"/>
      </w:pPr>
      <w:r>
        <w:t xml:space="preserve">Fiscal Q1 2027 (quarter ended June 30, 2026) — Reports after the close Wed, Aug 6, 2026</w:t>
      </w:r>
    </w:p>
    <w:p>
      <w:r>
        <w:pict>
          <v:rect style="width:0;height:1.5pt" o:hralign="center" o:hrstd="t" o:hr="t"/>
        </w:pict>
      </w:r>
    </w:p>
    <w:bookmarkEnd w:id="9"/>
    <w:bookmarkStart w:id="10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Microchip reports its first full quarter of fiscal 2027 into a tape that has turned sharply against it. This is a "prove the recovery is real and accelerating" quarter: the company is guiding to a huge YoY rebound, but the stock has round-tripped a large chunk of its spring rally, and expectations for the</w:t>
      </w:r>
      <w:r>
        <w:t xml:space="preserve"> </w:t>
      </w:r>
      <w:r>
        <w:rPr>
          <w:b/>
          <w:bCs/>
        </w:rPr>
        <w:t xml:space="preserve">September-quarter guide</w:t>
      </w:r>
      <w:r>
        <w:t xml:space="preserve"> </w:t>
      </w:r>
      <w:r>
        <w:t xml:space="preserve">— not the June print — are what will move the shares.</w:t>
      </w:r>
    </w:p>
    <w:p>
      <w:r>
        <w:pict>
          <v:rect style="width:0;height:1.5pt" o:hralign="center" o:hrstd="t" o:hr="t"/>
        </w:pict>
      </w:r>
    </w:p>
    <w:bookmarkEnd w:id="10"/>
    <w:bookmarkStart w:id="11" w:name="X0b700d517bc750248727a12f222c40c8488fe8a"/>
    <w:p>
      <w:pPr>
        <w:pStyle w:val="Heading2"/>
      </w:pPr>
      <w:r>
        <w:t xml:space="preserve">What management already told you (the bar to clear)</w:t>
      </w:r>
    </w:p>
    <w:p>
      <w:pPr>
        <w:pStyle w:val="FirstParagraph"/>
      </w:pPr>
      <w:r>
        <w:t xml:space="preserve">On the May 7 call, management guided the June quarter to: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FQ1'27 Guidance</w:t>
            </w:r>
          </w:p>
        </w:tc>
        <w:tc>
          <w:tcPr/>
          <w:p>
            <w:pPr>
              <w:pStyle w:val="Compact"/>
            </w:pPr>
            <w:r>
              <w:t xml:space="preserve">Midpoint</w:t>
            </w:r>
          </w:p>
        </w:tc>
        <w:tc>
          <w:tcPr/>
          <w:p>
            <w:pPr>
              <w:pStyle w:val="Compact"/>
            </w:pPr>
            <w:r>
              <w:t xml:space="preserve">vs. FQ4'26 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$1.442–1.469B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$1.456B</w:t>
            </w:r>
          </w:p>
        </w:tc>
        <w:tc>
          <w:tcPr/>
          <w:p>
            <w:pPr>
              <w:pStyle w:val="Compact"/>
            </w:pPr>
            <w:r>
              <w:t xml:space="preserve">+11.0% QoQ, +35.3% YoY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gross margin</w:t>
            </w:r>
          </w:p>
        </w:tc>
        <w:tc>
          <w:tcPr/>
          <w:p>
            <w:pPr>
              <w:pStyle w:val="Compact"/>
            </w:pPr>
            <w:r>
              <w:t xml:space="preserve">62.25%–63.25%</w:t>
            </w:r>
          </w:p>
        </w:tc>
        <w:tc>
          <w:tcPr/>
          <w:p>
            <w:pPr>
              <w:pStyle w:val="Compact"/>
            </w:pPr>
            <w:r>
              <w:t xml:space="preserve">~62.75%</w:t>
            </w:r>
          </w:p>
        </w:tc>
        <w:tc>
          <w:tcPr/>
          <w:p>
            <w:pPr>
              <w:pStyle w:val="Compact"/>
            </w:pPr>
            <w:r>
              <w:t xml:space="preserve">vs. 61.6%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operating margin</w:t>
            </w:r>
          </w:p>
        </w:tc>
        <w:tc>
          <w:tcPr/>
          <w:p>
            <w:pPr>
              <w:pStyle w:val="Compact"/>
            </w:pPr>
            <w:r>
              <w:t xml:space="preserve">33.0%–34.5%</w:t>
            </w:r>
          </w:p>
        </w:tc>
        <w:tc>
          <w:tcPr/>
          <w:p>
            <w:pPr>
              <w:pStyle w:val="Compact"/>
            </w:pPr>
            <w:r>
              <w:t xml:space="preserve">~33.75%</w:t>
            </w:r>
          </w:p>
        </w:tc>
        <w:tc>
          <w:tcPr/>
          <w:p>
            <w:pPr>
              <w:pStyle w:val="Compact"/>
            </w:pPr>
            <w:r>
              <w:t xml:space="preserve">vs. 30.6%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m:oMath>
              <m:r>
                <m:t>0.67</m:t>
              </m:r>
              <m:r>
                <m:rPr>
                  <m:sty m:val="p"/>
                </m:rPr>
                <m:t>–</m:t>
              </m:r>
            </m:oMath>
            <w:r>
              <w:t xml:space="preserve">0.71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$0.69</w:t>
            </w:r>
          </w:p>
        </w:tc>
        <w:tc>
          <w:tcPr/>
          <w:p>
            <w:pPr>
              <w:pStyle w:val="Compact"/>
            </w:pPr>
            <w:r>
              <w:t xml:space="preserve">vs. $0.57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OpEx</w:t>
            </w:r>
          </w:p>
        </w:tc>
        <w:tc>
          <w:tcPr/>
          <w:p>
            <w:pPr>
              <w:pStyle w:val="Compact"/>
            </w:pPr>
            <w:r>
              <w:t xml:space="preserve">28.75%–29.25% of sales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vs. 31.0%</w:t>
            </w:r>
          </w:p>
        </w:tc>
      </w:tr>
    </w:tbl>
    <w:p>
      <w:pPr>
        <w:pStyle w:val="BodyText"/>
      </w:pPr>
      <w:r>
        <w:t xml:space="preserve">Context on how they've been trending: last quarter revenue of</w:t>
      </w:r>
      <w:r>
        <w:t xml:space="preserve"> </w:t>
      </w:r>
      <m:oMath>
        <m:r>
          <m:t>1.311</m:t>
        </m:r>
        <m:r>
          <m:t>B</m:t>
        </m:r>
        <m:r>
          <m:t>c</m:t>
        </m:r>
        <m:r>
          <m:t>a</m:t>
        </m:r>
        <m:r>
          <m:t>m</m:t>
        </m:r>
        <m:r>
          <m:t>e</m:t>
        </m:r>
        <m:r>
          <m:t>i</m:t>
        </m:r>
        <m:r>
          <m:t>n</m:t>
        </m:r>
        <m:r>
          <m:t>a</m:t>
        </m:r>
        <m:r>
          <m:t>b</m:t>
        </m:r>
        <m:r>
          <m:t>o</m:t>
        </m:r>
        <m:r>
          <m:t>v</m:t>
        </m:r>
        <m:r>
          <m:t>e</m:t>
        </m:r>
        <m:r>
          <m:t>t</m:t>
        </m:r>
        <m:r>
          <m:t>h</m:t>
        </m:r>
        <m:r>
          <m:t>e</m:t>
        </m:r>
        <m:r>
          <m:t>h</m:t>
        </m:r>
        <m:r>
          <m:t>i</m:t>
        </m:r>
        <m:r>
          <m:t>g</m:t>
        </m:r>
        <m:r>
          <m:t>h</m:t>
        </m:r>
        <m:r>
          <m:t>e</m:t>
        </m:r>
        <m:r>
          <m:t>n</m:t>
        </m:r>
        <m:r>
          <m:t>d</m:t>
        </m:r>
        <m:r>
          <m:t>o</m:t>
        </m:r>
        <m:r>
          <m:t>f</m:t>
        </m:r>
        <m:r>
          <m:t>g</m:t>
        </m:r>
        <m:r>
          <m:t>u</m:t>
        </m:r>
        <m:r>
          <m:t>i</m:t>
        </m:r>
        <m:r>
          <m:t>d</m:t>
        </m:r>
        <m:r>
          <m:t>a</m:t>
        </m:r>
        <m:r>
          <m:t>n</m:t>
        </m:r>
        <m:r>
          <m:t>c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rPr>
            <m:sty m:val="p"/>
          </m:rPr>
          <m:t>+</m:t>
        </m:r>
        <m:r>
          <m:t>35.1</m:t>
        </m:r>
      </m:oMath>
      <w:r>
        <w:rPr>
          <w:b/>
          <w:bCs/>
        </w:rPr>
        <w:t xml:space="preserve">0.57 beat the $0.50 midpoint by $0.07</w:t>
      </w:r>
      <w:r>
        <w:t xml:space="preserve">. MCHP has been consistently beating its own conservative guide as the cyclical recovery plays out, so the June result itself is likely a formality — the debate is about the trajectory from here.</w:t>
      </w:r>
    </w:p>
    <w:p>
      <w:r>
        <w:pict>
          <v:rect style="width:0;height:1.5pt" o:hralign="center" o:hrstd="t" o:hr="t"/>
        </w:pict>
      </w:r>
    </w:p>
    <w:bookmarkEnd w:id="11"/>
    <w:bookmarkStart w:id="17" w:name="X69c0f95578bb9076539d6078b609e1fd6cac06f"/>
    <w:p>
      <w:pPr>
        <w:pStyle w:val="Heading2"/>
      </w:pPr>
      <w:r>
        <w:t xml:space="preserve">The five things that actually matter Wednesday</w:t>
      </w:r>
    </w:p>
    <w:bookmarkStart w:id="12" w:name="X97b3a1334a4149c88ff06e3e85477c33e48753b"/>
    <w:p>
      <w:pPr>
        <w:pStyle w:val="Heading3"/>
      </w:pPr>
      <w:r>
        <w:t xml:space="preserve">1. The September-quarter guide is the whole ballgame</w:t>
      </w:r>
    </w:p>
    <w:p>
      <w:pPr>
        <w:pStyle w:val="FirstParagraph"/>
      </w:pPr>
      <w:r>
        <w:t xml:space="preserve">Management pointedly declined to put a number on the September quarter in May, but the setup they described was bullish:</w:t>
      </w:r>
    </w:p>
    <w:p>
      <w:pPr>
        <w:pStyle w:val="Compact"/>
        <w:numPr>
          <w:ilvl w:val="0"/>
          <w:numId w:val="1001"/>
        </w:numPr>
      </w:pPr>
      <w:r>
        <w:t xml:space="preserve">Book-to-bill "well above 1," with</w:t>
      </w:r>
      <w:r>
        <w:t xml:space="preserve"> </w:t>
      </w:r>
      <w:r>
        <w:rPr>
          <w:b/>
          <w:bCs/>
        </w:rPr>
        <w:t xml:space="preserve">March-quarter backlog much higher</w:t>
      </w:r>
      <w:r>
        <w:t xml:space="preserve"> </w:t>
      </w:r>
      <w:r>
        <w:t xml:space="preserve">entering June.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April was the largest booking month in nearly four years.</w:t>
      </w:r>
    </w:p>
    <w:p>
      <w:pPr>
        <w:pStyle w:val="Compact"/>
        <w:numPr>
          <w:ilvl w:val="0"/>
          <w:numId w:val="1001"/>
        </w:numPr>
      </w:pPr>
      <w:r>
        <w:t xml:space="preserve">CFO Bjornholt said September-quarter backlog was</w:t>
      </w:r>
      <w:r>
        <w:t xml:space="preserve"> </w:t>
      </w:r>
      <w:r>
        <w:rPr>
          <w:i/>
          <w:iCs/>
        </w:rPr>
        <w:t xml:space="preserve">already higher</w:t>
      </w:r>
      <w:r>
        <w:t xml:space="preserve"> </w:t>
      </w:r>
      <w:r>
        <w:t xml:space="preserve">than the June-quarter backlog was at the same point.</w:t>
      </w:r>
    </w:p>
    <w:p>
      <w:pPr>
        <w:pStyle w:val="Compact"/>
        <w:numPr>
          <w:ilvl w:val="0"/>
          <w:numId w:val="1001"/>
        </w:numPr>
      </w:pPr>
      <w:r>
        <w:t xml:space="preserve">On the call, an analyst flagged Street consensus for September at only +5–6% QoQ.</w:t>
      </w:r>
    </w:p>
    <w:p>
      <w:pPr>
        <w:pStyle w:val="FirstParagraph"/>
      </w:pPr>
      <w:r>
        <w:t xml:space="preserve">Given those hints, anything in-line-to-below a high-single-digit sequential guide could disappoint the bulls who bought the acceleration story; a double-digit sequential guide would validate it.</w:t>
      </w:r>
      <w:r>
        <w:t xml:space="preserve"> </w:t>
      </w:r>
      <w:r>
        <w:rPr>
          <w:b/>
          <w:bCs/>
        </w:rPr>
        <w:t xml:space="preserve">This is the single most important data point in the release.</w:t>
      </w:r>
    </w:p>
    <w:bookmarkEnd w:id="12"/>
    <w:bookmarkStart w:id="13" w:name="X433e70bf76d121afd168b4014133fa902ab85de"/>
    <w:p>
      <w:pPr>
        <w:pStyle w:val="Heading3"/>
      </w:pPr>
      <w:r>
        <w:t xml:space="preserve">2. Gross margin march toward 65%</w:t>
      </w:r>
    </w:p>
    <w:p>
      <w:pPr>
        <w:pStyle w:val="FirstParagraph"/>
      </w:pPr>
      <w:r>
        <w:t xml:space="preserve">The key gating factor is capacity underutilization, which was a</w:t>
      </w:r>
      <w:r>
        <w:t xml:space="preserve"> </w:t>
      </w:r>
      <w:r>
        <w:rPr>
          <w:b/>
          <w:bCs/>
        </w:rPr>
        <w:t xml:space="preserve">$46.6M drag last quarter</w:t>
      </w:r>
      <w:r>
        <w:t xml:space="preserve">. CFO's math: add that back and MCHP is essentially at its 65% long-term target. Watch for (a) the size of the underutilization charge as fabs ramp, and (b) confirmation that inventory-reserve charges have truly normalized (they said this happened in March). Front-end fabs are running ~35% internal, back-end ~70% internal, so the internal fab ramp is the bigger margin lever from here.</w:t>
      </w:r>
    </w:p>
    <w:bookmarkEnd w:id="13"/>
    <w:bookmarkStart w:id="14" w:name="Xfd8e5617c710282aa3f896dea9fc555daf12f5c"/>
    <w:p>
      <w:pPr>
        <w:pStyle w:val="Heading3"/>
      </w:pPr>
      <w:r>
        <w:t xml:space="preserve">3. Inventory and the restocking cycle</w:t>
      </w:r>
    </w:p>
    <w:p>
      <w:pPr>
        <w:pStyle w:val="Compact"/>
        <w:numPr>
          <w:ilvl w:val="0"/>
          <w:numId w:val="1002"/>
        </w:numPr>
      </w:pPr>
      <w:r>
        <w:t xml:space="preserve">Company inventory:</w:t>
      </w:r>
      <w:r>
        <w:t xml:space="preserve"> </w:t>
      </w:r>
      <w:r>
        <w:rPr>
          <w:b/>
          <w:bCs/>
        </w:rPr>
        <w:t xml:space="preserve">185 days</w:t>
      </w:r>
      <w:r>
        <w:t xml:space="preserve"> </w:t>
      </w:r>
      <w:r>
        <w:t xml:space="preserve">(down from a 266-day peak in Dec '24), heading toward a 130–150 day target.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Distribution inventory: 26 days — near the low end of the historical range.</w:t>
      </w:r>
      <w:r>
        <w:t xml:space="preserve"> </w:t>
      </w:r>
      <w:r>
        <w:t xml:space="preserve">Management expects channel restocking as distributors rebuild to support growth.</w:t>
      </w:r>
    </w:p>
    <w:p>
      <w:pPr>
        <w:pStyle w:val="Compact"/>
        <w:numPr>
          <w:ilvl w:val="0"/>
          <w:numId w:val="1002"/>
        </w:numPr>
      </w:pPr>
      <w:r>
        <w:t xml:space="preserve">Watch whether reported revenue is being flattered by early restocking vs. true sell-through (distri sell-through was +11.4% last quarter, roughly matching sell-in — a healthy sign if it holds).</w:t>
      </w:r>
    </w:p>
    <w:bookmarkEnd w:id="14"/>
    <w:bookmarkStart w:id="15" w:name="Xb768c60331a4a81a3064b264dcd3409d784988f"/>
    <w:p>
      <w:pPr>
        <w:pStyle w:val="Heading3"/>
      </w:pPr>
      <w:r>
        <w:t xml:space="preserve">4. Supply tightening &amp; pricing</w:t>
      </w:r>
    </w:p>
    <w:p>
      <w:pPr>
        <w:pStyle w:val="FirstParagraph"/>
      </w:pPr>
      <w:r>
        <w:t xml:space="preserve">A notable shift in tone last quarter: lead times are extending, and management warned that "in another quarter or so, there could be nothing available in 4–6 weeks." Constraints are broadening across</w:t>
      </w:r>
      <w:r>
        <w:t xml:space="preserve"> </w:t>
      </w:r>
      <w:r>
        <w:rPr>
          <w:b/>
          <w:bCs/>
        </w:rPr>
        <w:t xml:space="preserve">substrates (12-month shelf life), OSAT capacity, and foundry nodes</w:t>
      </w:r>
      <w:r>
        <w:t xml:space="preserve"> </w:t>
      </w:r>
      <w:r>
        <w:t xml:space="preserve">(70–80% of nodes described as tight). Meanwhile MCHP is deliberately</w:t>
      </w:r>
      <w:r>
        <w:t xml:space="preserve"> </w:t>
      </w:r>
      <w:r>
        <w:rPr>
          <w:i/>
          <w:iCs/>
        </w:rPr>
        <w:t xml:space="preserve">holding pricing</w:t>
      </w:r>
      <w:r>
        <w:t xml:space="preserve"> </w:t>
      </w:r>
      <w:r>
        <w:t xml:space="preserve">to rebuild customer relationships while competitors raise prices — a share-gain thesis but a near-term margin choice. Look for any pivot on pricing into H2 and whether supply constraints are capping upside/backlog conversion.</w:t>
      </w:r>
    </w:p>
    <w:bookmarkEnd w:id="15"/>
    <w:bookmarkStart w:id="16" w:name="X8b25c7feab6cc63dd13139d45f343cc50078c6b"/>
    <w:p>
      <w:pPr>
        <w:pStyle w:val="Heading3"/>
      </w:pPr>
      <w:r>
        <w:t xml:space="preserve">5. Data center / AI content story</w:t>
      </w:r>
    </w:p>
    <w:p>
      <w:pPr>
        <w:pStyle w:val="FirstParagraph"/>
      </w:pPr>
      <w:r>
        <w:t xml:space="preserve">Brian McCarson's Data Center Solutions unit is the growth narrative:</w:t>
      </w:r>
      <w:r>
        <w:t xml:space="preserve"> </w:t>
      </w:r>
      <w:r>
        <w:rPr>
          <w:b/>
          <w:bCs/>
        </w:rPr>
        <w:t xml:space="preserve">PCIe Gen 6 switch entering production ramp at the end of the June quarter</w:t>
      </w:r>
      <w:r>
        <w:t xml:space="preserve">, a new</w:t>
      </w:r>
      <w:r>
        <w:t xml:space="preserve"> </w:t>
      </w:r>
      <w:r>
        <w:rPr>
          <w:b/>
          <w:bCs/>
        </w:rPr>
        <w:t xml:space="preserve">Gen 6 PCIe retimer</w:t>
      </w:r>
      <w:r>
        <w:t xml:space="preserve"> </w:t>
      </w:r>
      <w:r>
        <w:t xml:space="preserve">entry (already a major OEM design win displacing a competitor), plus storage and CXL/PCIe memory controllers. Six Gen 6 switch design wins pre-production. Investors will want quantification — management has promised (but not yet delivered) a cleaner breakout of data center / megatrend revenue. Any disclosure here would be a catalyst.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overhangs--housekeeping"/>
    <w:p>
      <w:pPr>
        <w:pStyle w:val="Heading2"/>
      </w:pPr>
      <w:r>
        <w:t xml:space="preserve">Overhangs &amp; housekeeping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Management change (new since last print):</w:t>
      </w:r>
      <w:r>
        <w:t xml:space="preserve"> </w:t>
      </w:r>
      <w:r>
        <w:t xml:space="preserve">On July 24, MCHP disclosed via 8-K that</w:t>
      </w:r>
      <w:r>
        <w:t xml:space="preserve"> </w:t>
      </w:r>
      <w:r>
        <w:rPr>
          <w:b/>
          <w:bCs/>
        </w:rPr>
        <w:t xml:space="preserve">COO Rich Simoncic resigned to lead Menlo Microsystems.</w:t>
      </w:r>
      <w:r>
        <w:t xml:space="preserve"> </w:t>
      </w:r>
      <w:r>
        <w:t xml:space="preserve">Simoncic was a prepared-remarks presenter and a key figure in the nine-point recovery plan and megatrend/BU realignment. Expect questions on succession and continuity, especially with 78-year-old CEO Steve Sanghi having returned to run the turnaround.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Balance sheet / deleveraging:</w:t>
      </w:r>
      <w:r>
        <w:t xml:space="preserve"> </w:t>
      </w:r>
      <w:r>
        <w:t xml:space="preserve">Net debt/EBITDA fell to 3.54x (from 4.18x). Management guided the</w:t>
      </w:r>
      <w:r>
        <w:t xml:space="preserve"> </w:t>
      </w:r>
      <w:r>
        <w:rPr>
          <w:b/>
          <w:bCs/>
        </w:rPr>
        <w:t xml:space="preserve">June quarter to be "an excellent cash generation quarter" with net leverage dropping below 3x</w:t>
      </w:r>
      <w:r>
        <w:t xml:space="preserve"> </w:t>
      </w:r>
      <w:r>
        <w:t xml:space="preserve">and meaningful debt paydown. Cash was thin at</w:t>
      </w:r>
      <w:r>
        <w:t xml:space="preserve"> </w:t>
      </w:r>
      <m:oMath>
        <m:r>
          <m:t>240</m:t>
        </m:r>
        <m:r>
          <m:t>M</m:t>
        </m:r>
        <m:r>
          <m:t>a</m:t>
        </m:r>
        <m:r>
          <m:t>g</m:t>
        </m:r>
        <m:r>
          <m:t>a</m:t>
        </m:r>
        <m:r>
          <m:t>i</m:t>
        </m:r>
        <m:r>
          <m:t>n</m:t>
        </m:r>
        <m:r>
          <m:t>s</m:t>
        </m:r>
        <m:r>
          <m:t>t</m:t>
        </m:r>
        <m:r>
          <m:t> </m:t>
        </m:r>
      </m:oMath>
      <w:r>
        <w:t xml:space="preserve">5.5B long-term debt, so FCF and leverage progress matter. The dividend was held at 45.5¢/share (they've prioritized debt reduction over buyback).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Tempe/Fab 2:</w:t>
      </w:r>
      <w:r>
        <w:t xml:space="preserve"> </w:t>
      </w:r>
      <w:r>
        <w:t xml:space="preserve">Fab closure largely done; the Tempe fab sale still hasn't closed — any update is a small positive.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Tax:</w:t>
      </w:r>
      <w:r>
        <w:t xml:space="preserve"> </w:t>
      </w:r>
      <w:r>
        <w:t xml:space="preserve">FY27 non-GAAP tax rate guided to ~10% (up from 8.6% in FY26) — a modest EPS headwind.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CapEx:</w:t>
      </w:r>
      <w:r>
        <w:t xml:space="preserve"> </w:t>
      </w:r>
      <w:r>
        <w:t xml:space="preserve">~$100M for all of FY27 — capital-light, they're "growing back into" capacity already in place.</w:t>
      </w:r>
    </w:p>
    <w:p>
      <w:r>
        <w:pict>
          <v:rect style="width:0;height:1.5pt" o:hralign="center" o:hrstd="t" o:hr="t"/>
        </w:pict>
      </w:r>
    </w:p>
    <w:bookmarkEnd w:id="18"/>
    <w:bookmarkStart w:id="19" w:name="price-action--sentiment"/>
    <w:p>
      <w:pPr>
        <w:pStyle w:val="Heading2"/>
      </w:pPr>
      <w:r>
        <w:t xml:space="preserve">Price action &amp; sentiment</w:t>
      </w:r>
    </w:p>
    <w:p>
      <w:pPr>
        <w:pStyle w:val="FirstParagraph"/>
      </w:pPr>
      <w:r>
        <w:t xml:space="preserve">The chart tells you why this print is high-stakes. MCHP ran from a March low near</w:t>
      </w:r>
      <w:r>
        <w:t xml:space="preserve"> </w:t>
      </w:r>
      <m:oMath>
        <m:r>
          <m:t>62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t</m:t>
        </m:r>
        <m:r>
          <m:t>o</m:t>
        </m:r>
        <m:r>
          <m:t>a</m:t>
        </m:r>
        <m:r>
          <m:t>J</m:t>
        </m:r>
        <m:r>
          <m:t>u</m:t>
        </m:r>
        <m:r>
          <m:t>n</m:t>
        </m:r>
        <m:r>
          <m:t>e</m:t>
        </m:r>
        <m:r>
          <m:t>i</m:t>
        </m:r>
        <m:r>
          <m:t>n</m:t>
        </m:r>
        <m:r>
          <m:t>t</m:t>
        </m:r>
        <m:r>
          <m:t>r</m:t>
        </m:r>
        <m:r>
          <m:t>a</m:t>
        </m:r>
        <m:r>
          <m:t>d</m:t>
        </m:r>
        <m:r>
          <m:t>a</m:t>
        </m:r>
        <m:r>
          <m:t>y</m:t>
        </m:r>
        <m:r>
          <m:t>p</m:t>
        </m:r>
        <m:r>
          <m:t>e</m:t>
        </m:r>
        <m:r>
          <m:t>a</m:t>
        </m:r>
        <m:r>
          <m:t>k</m:t>
        </m:r>
        <m:r>
          <m:t>a</m:t>
        </m:r>
        <m:r>
          <m:t>r</m:t>
        </m:r>
        <m:r>
          <m:t>o</m:t>
        </m:r>
        <m:r>
          <m:t>u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103</w:t>
      </w:r>
      <w:r>
        <w:t xml:space="preserve"> </w:t>
      </w:r>
      <w:r>
        <w:t xml:space="preserve">as the recovery narrative took hold — then reversed hard, closing **</w:t>
      </w:r>
      <m:oMath>
        <m:r>
          <m:t>77.81</m:t>
        </m:r>
        <m:r>
          <m:t>o</m:t>
        </m:r>
        <m:r>
          <m:t>n</m:t>
        </m:r>
        <m:r>
          <m:t>A</m:t>
        </m:r>
        <m:r>
          <m:t>u</m:t>
        </m:r>
        <m:r>
          <m:t>g</m:t>
        </m:r>
        <m:r>
          <m:t>5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−</m:t>
        </m:r>
        <m:r>
          <m:t>24</m:t>
        </m:r>
      </m:oMath>
      <w:r>
        <w:t xml:space="preserve">71 on July 29 before partially recovering. Much of the July drawdown was sector-wide (SOXX fell in tandem), but MCHP has underperformed, suggesting the market is skeptical the acceleration can sustain at these valuations. That reset arguably lowers the bar into the print — but also signals that "in-line" won't be enough.</w:t>
      </w:r>
    </w:p>
    <w:p>
      <w:r>
        <w:pict>
          <v:rect style="width:0;height:1.5pt" o:hralign="center" o:hrstd="t" o:hr="t"/>
        </w:pict>
      </w:r>
    </w:p>
    <w:bookmarkEnd w:id="19"/>
    <w:bookmarkStart w:id="20" w:name="bottom-line--what-id-watch-for"/>
    <w:p>
      <w:pPr>
        <w:pStyle w:val="Heading2"/>
      </w:pPr>
      <w:r>
        <w:t xml:space="preserve">Bottom line — what I'd watch for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Bullish outcome:</w:t>
      </w:r>
      <w:r>
        <w:t xml:space="preserve"> </w:t>
      </w:r>
      <w:r>
        <w:t xml:space="preserve">June beats the guide again (&gt;</w:t>
      </w:r>
      <m:oMath>
        <m:r>
          <m:t>1.47</m:t>
        </m:r>
        <m:r>
          <m:t>B</m:t>
        </m:r>
        <m:r>
          <m:rPr>
            <m:sty m:val="p"/>
          </m:rPr>
          <m:t>/</m:t>
        </m:r>
        <m:r>
          <m:rPr>
            <m:sty m:val="p"/>
          </m:rPr>
          <m:t>&gt;</m:t>
        </m:r>
      </m:oMath>
      <w:r>
        <w:t xml:space="preserve">0.71), September guided up high-single to double digits sequentially, underutilization charges shrinking materially, and a data-center revenue quantification. That reframes the stock as a broad-based recovery + AI-content compounder.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Bearish outcome:</w:t>
      </w:r>
      <w:r>
        <w:t xml:space="preserve"> </w:t>
      </w:r>
      <w:r>
        <w:t xml:space="preserve">In-line June, a September guide only in-line with the +5–6% consensus (or hedged language on supply constraints capping shipments), sticky underutilization charges, and unease over the COO departure. Given the recent multiple compression, a merely "fine" quarter likely isn't rewarded.</w:t>
      </w:r>
    </w:p>
    <w:p>
      <w:pPr>
        <w:pStyle w:val="FirstParagraph"/>
      </w:pPr>
      <w:r>
        <w:t xml:space="preserve">The most important sentences to read in the release won't be the June actuals — they'll be the</w:t>
      </w:r>
      <w:r>
        <w:t xml:space="preserve"> </w:t>
      </w:r>
      <w:r>
        <w:rPr>
          <w:b/>
          <w:bCs/>
        </w:rPr>
        <w:t xml:space="preserve">September outlook and the gross-margin/underutilization commentary.</w:t>
      </w:r>
      <w:r>
        <w:t xml:space="preserve"> </w:t>
      </w:r>
      <w:r>
        <w:t xml:space="preserve">Everything else is supporting evidence for whether this early-cycle recovery is broadening and accelerating, or just normalizing.</w:t>
      </w:r>
    </w:p>
    <w:p>
      <w:pPr>
        <w:pStyle w:val="BodyText"/>
      </w:pPr>
      <w:r>
        <w:rPr>
          <w:i/>
          <w:iCs/>
        </w:rPr>
        <w:t xml:space="preserve">Note: figures above are non-GAAP unless stated; guidance and channel/backlog commentary are drawn from MCHP's May 7, 2026 FQ4'26 earnings release and call, the July 24 COO-departure 8-K, and market prices through Aug 5, 2026.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2026-08-06T01:02:19Z</dcterms:created>
  <dcterms:modified xsi:type="dcterms:W3CDTF">2026-08-06T01:02:19Z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