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 me check the stockanalysis.com page and get more detail on recent price target actions and stock action into earnings, plus check the current stock price level right before earnings.# Microchip Technology (MCHP) — Earnings Preview</w:t>
      </w:r>
      <w:r>
        <w:t xml:space="preserve"> </w:t>
      </w:r>
      <w:r>
        <w:rPr>
          <w:b/>
          <w:bCs/>
        </w:rPr>
        <w:t xml:space="preserve">Report Date:</w:t>
      </w:r>
      <w:r>
        <w:t xml:space="preserve"> </w:t>
      </w:r>
      <w:r>
        <w:t xml:space="preserve">Thursday, August 6, 2026 (after market close) — Fiscal Q1 2027 (quarter ended June 30, 2026)</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Microchip enters this report on the back of a blowout Q4 FY2026 (March quarter) result and a stock that has round-tripped violently — rallying from ~$65 in early January to a 2026 high near $103 in early May, before sliding back to the $75–80 range heading into tomorrow's call. That pullback has coincided with a wave of mixed sell-side price-target revisions (Wells Fargo cut its target to $88 from $95 in July while keeping Equal Weight) even as the Street consensus rating remains a "Buy," with average targets still well above the current price (in the $100–114 range across ~20-25 covering analysts).</w:t>
      </w:r>
    </w:p>
    <w:p>
      <w:pPr>
        <w:pStyle w:val="BodyText"/>
      </w:pPr>
      <w:r>
        <w:t xml:space="preserve">The June quarter (fiscal Q1 2027) is the one management explicitly framed as "seasonally stronger," and expectations are elevated: Wall Street consensus sits at roughly</w:t>
      </w:r>
      <w:r>
        <w:t xml:space="preserve"> </w:t>
      </w:r>
      <m:oMath>
        <m:r>
          <m:t>1.46</m:t>
        </m:r>
        <m:r>
          <m:t>b</m:t>
        </m:r>
        <m:r>
          <m:t>i</m:t>
        </m:r>
        <m:r>
          <m:t>l</m:t>
        </m:r>
        <m:r>
          <m:t>l</m:t>
        </m:r>
        <m:r>
          <m:t>i</m:t>
        </m:r>
        <m:r>
          <m:t>o</m:t>
        </m:r>
        <m:r>
          <m:t>n</m:t>
        </m:r>
        <m:r>
          <m:t>i</m:t>
        </m:r>
        <m:r>
          <m:t>n</m:t>
        </m:r>
        <m:r>
          <m:t>r</m:t>
        </m:r>
        <m:r>
          <m:t>e</m:t>
        </m:r>
        <m:r>
          <m:t>v</m:t>
        </m:r>
        <m:r>
          <m:t>e</m:t>
        </m:r>
        <m:r>
          <m:t>n</m:t>
        </m:r>
        <m:r>
          <m:t>u</m:t>
        </m:r>
        <m:r>
          <m:t>e</m:t>
        </m:r>
        <m:r>
          <m:rPr>
            <m:sty m:val="p"/>
          </m:rPr>
          <m:t>(</m:t>
        </m:r>
        <m:r>
          <m:rPr>
            <m:sty m:val="p"/>
          </m:rPr>
          <m:t>+</m:t>
        </m:r>
        <m:r>
          <m:t>35</m:t>
        </m:r>
      </m:oMath>
      <w:r>
        <w:rPr>
          <w:b/>
          <w:bCs/>
        </w:rPr>
        <w:t xml:space="preserve">0.70</w:t>
      </w:r>
      <w:r>
        <w:t xml:space="preserve">, essentially at the high end of management's own guidance range.</w:t>
      </w:r>
    </w:p>
    <w:bookmarkEnd w:id="9"/>
    <w:bookmarkStart w:id="10" w:name="Xc7a090da2c5d8764ef6bb69291b5c0a7e97afa2"/>
    <w:p>
      <w:pPr>
        <w:pStyle w:val="Heading2"/>
      </w:pPr>
      <w:r>
        <w:t xml:space="preserve">2. What Management Guided To Last Quarter</w:t>
      </w:r>
    </w:p>
    <w:p>
      <w:pPr>
        <w:pStyle w:val="FirstParagraph"/>
      </w:pPr>
      <w:r>
        <w:t xml:space="preserve">On the May 7 call, CFO Eric Bjornholt and CEO Steve Sanghi guided the June quarter as follows:</w:t>
      </w:r>
    </w:p>
    <w:p>
      <w:pPr>
        <w:pStyle w:val="Compact"/>
        <w:numPr>
          <w:ilvl w:val="0"/>
          <w:numId w:val="1001"/>
        </w:numPr>
      </w:pPr>
      <w:r>
        <w:rPr>
          <w:b/>
          <w:bCs/>
        </w:rPr>
        <w:t xml:space="preserve">Net sales:</w:t>
      </w:r>
      <w:r>
        <w:t xml:space="preserve"> </w:t>
      </w:r>
      <m:oMath>
        <m:r>
          <m:t>1.442</m:t>
        </m:r>
        <m:r>
          <m:rPr>
            <m:sty m:val="p"/>
          </m:rPr>
          <m:t>–</m:t>
        </m:r>
      </m:oMath>
      <w:r>
        <w:t xml:space="preserve">1.469 billion (midpoint +35.3% y/y, +11% q/q)</w:t>
      </w:r>
    </w:p>
    <w:p>
      <w:pPr>
        <w:pStyle w:val="Compact"/>
        <w:numPr>
          <w:ilvl w:val="0"/>
          <w:numId w:val="1001"/>
        </w:numPr>
      </w:pPr>
      <w:r>
        <w:rPr>
          <w:b/>
          <w:bCs/>
        </w:rPr>
        <w:t xml:space="preserve">Non-GAAP gross margin:</w:t>
      </w:r>
      <w:r>
        <w:t xml:space="preserve"> </w:t>
      </w:r>
      <w:r>
        <w:t xml:space="preserve">62.25%–63.25%</w:t>
      </w:r>
    </w:p>
    <w:p>
      <w:pPr>
        <w:pStyle w:val="Compact"/>
        <w:numPr>
          <w:ilvl w:val="0"/>
          <w:numId w:val="1001"/>
        </w:numPr>
      </w:pPr>
      <w:r>
        <w:rPr>
          <w:b/>
          <w:bCs/>
        </w:rPr>
        <w:t xml:space="preserve">Non-GAAP operating expenses:</w:t>
      </w:r>
      <w:r>
        <w:t xml:space="preserve"> </w:t>
      </w:r>
      <w:r>
        <w:t xml:space="preserve">28.75%–29.25% of sales</w:t>
      </w:r>
    </w:p>
    <w:p>
      <w:pPr>
        <w:pStyle w:val="Compact"/>
        <w:numPr>
          <w:ilvl w:val="0"/>
          <w:numId w:val="1001"/>
        </w:numPr>
      </w:pPr>
      <w:r>
        <w:rPr>
          <w:b/>
          <w:bCs/>
        </w:rPr>
        <w:t xml:space="preserve">Non-GAAP operating margin:</w:t>
      </w:r>
      <w:r>
        <w:t xml:space="preserve"> </w:t>
      </w:r>
      <w:r>
        <w:t xml:space="preserve">33.0%–34.5%</w:t>
      </w:r>
    </w:p>
    <w:p>
      <w:pPr>
        <w:pStyle w:val="Compact"/>
        <w:numPr>
          <w:ilvl w:val="0"/>
          <w:numId w:val="1001"/>
        </w:numPr>
      </w:pPr>
      <w:r>
        <w:rPr>
          <w:b/>
          <w:bCs/>
        </w:rPr>
        <w:t xml:space="preserve">Non-GAAP EPS:</w:t>
      </w:r>
      <w:r>
        <w:t xml:space="preserve"> </w:t>
      </w:r>
      <m:oMath>
        <m:r>
          <m:t>0.67</m:t>
        </m:r>
        <m:r>
          <m:rPr>
            <m:sty m:val="p"/>
          </m:rPr>
          <m:t>–</m:t>
        </m:r>
      </m:oMath>
      <w:r>
        <w:t xml:space="preserve">0.71</w:t>
      </w:r>
    </w:p>
    <w:p>
      <w:pPr>
        <w:pStyle w:val="Compact"/>
        <w:numPr>
          <w:ilvl w:val="0"/>
          <w:numId w:val="1001"/>
        </w:numPr>
      </w:pPr>
      <w:r>
        <w:rPr>
          <w:b/>
          <w:bCs/>
        </w:rPr>
        <w:t xml:space="preserve">CapEx:</w:t>
      </w:r>
      <w:r>
        <w:t xml:space="preserve"> </w:t>
      </w:r>
      <w:r>
        <w:t xml:space="preserve">~</w:t>
      </w:r>
      <m:oMath>
        <m:r>
          <m:t>20</m:t>
        </m:r>
        <m:r>
          <m:t>m</m:t>
        </m:r>
        <m:r>
          <m:t>i</m:t>
        </m:r>
        <m:r>
          <m:t>l</m:t>
        </m:r>
        <m:r>
          <m:t>l</m:t>
        </m:r>
        <m:r>
          <m:t>i</m:t>
        </m:r>
        <m:r>
          <m:t>o</m:t>
        </m:r>
        <m:r>
          <m:t>n</m:t>
        </m:r>
        <m:r>
          <m:t>f</m:t>
        </m:r>
        <m:r>
          <m:t>o</m:t>
        </m:r>
        <m:r>
          <m:t>r</m:t>
        </m:r>
        <m:r>
          <m:t>t</m:t>
        </m:r>
        <m:r>
          <m:t>h</m:t>
        </m:r>
        <m:r>
          <m:t>e</m:t>
        </m:r>
        <m:r>
          <m:t>q</m:t>
        </m:r>
        <m:r>
          <m:t>u</m:t>
        </m:r>
        <m:r>
          <m:t>a</m:t>
        </m:r>
        <m:r>
          <m:t>r</m:t>
        </m:r>
        <m:r>
          <m:t>t</m:t>
        </m:r>
        <m:r>
          <m:t>e</m:t>
        </m:r>
        <m:r>
          <m:t>r</m:t>
        </m:r>
        <m:r>
          <m:rPr>
            <m:sty m:val="p"/>
          </m:rPr>
          <m:t>,</m:t>
        </m:r>
        <m:r>
          <m:t> </m:t>
        </m:r>
      </m:oMath>
      <w:r>
        <w:t xml:space="preserve">100 million for all of FY2027</w:t>
      </w:r>
    </w:p>
    <w:p>
      <w:pPr>
        <w:pStyle w:val="FirstParagraph"/>
      </w:pPr>
      <w:r>
        <w:t xml:space="preserve">Importantly, management's confidence in that guide was underpinned by hard order data: bookings in the March quarter were sharply higher than December's, the book-to-bill ratio was "well above 1," and</w:t>
      </w:r>
      <w:r>
        <w:t xml:space="preserve"> </w:t>
      </w:r>
      <w:r>
        <w:rPr>
          <w:b/>
          <w:bCs/>
        </w:rPr>
        <w:t xml:space="preserve">April was the company's largest booking month in almost four years</w:t>
      </w:r>
      <w:r>
        <w:t xml:space="preserve">. Backlog entering the June quarter was said to be materially higher than backlog entering the March quarter at the same point in time, and CFO Bjornholt noted that the September-quarter backlog was already tracking above the June-quarter backlog at the same point in the cycle — a bullish read on sequential momentum, though management stopped short of quantifying a September growth rate.</w:t>
      </w:r>
    </w:p>
    <w:bookmarkEnd w:id="10"/>
    <w:bookmarkStart w:id="11" w:name="Xee74f8c7c4517e036b893f8d5ee15c7a83e52ce"/>
    <w:p>
      <w:pPr>
        <w:pStyle w:val="Heading2"/>
      </w:pPr>
      <w:r>
        <w:t xml:space="preserve">3. The Bull Case Coming In: A Business Inflecting Hard Off the Bottom</w:t>
      </w:r>
    </w:p>
    <w:p>
      <w:pPr>
        <w:pStyle w:val="FirstParagraph"/>
      </w:pPr>
      <w:r>
        <w:t xml:space="preserve">Q4 FY26 itself was a standout beat: revenue of $1.311 billion topped the high end of guidance, and non-GAAP EPS of $0.57 beat the midpoint by $0.07 (a 13%+ EPS surprise). Several threads from that call matter for tomorrow:</w:t>
      </w:r>
    </w:p>
    <w:p>
      <w:pPr>
        <w:pStyle w:val="Compact"/>
        <w:numPr>
          <w:ilvl w:val="0"/>
          <w:numId w:val="1002"/>
        </w:numPr>
      </w:pPr>
      <w:r>
        <w:rPr>
          <w:b/>
          <w:bCs/>
        </w:rPr>
        <w:t xml:space="preserve">Inventory normalization essentially complete.</w:t>
      </w:r>
      <w:r>
        <w:t xml:space="preserve"> </w:t>
      </w:r>
      <w:r>
        <w:t xml:space="preserve">Company-wide days of inventory fell from a peak of 266 days (Dec-2024) to 185 days at the end of March, with a goal of 130–150 days. Distributor inventory sat at just 26 days — near the low end of historical range — setting up a</w:t>
      </w:r>
      <w:r>
        <w:t xml:space="preserve"> </w:t>
      </w:r>
      <w:r>
        <w:rPr>
          <w:b/>
          <w:bCs/>
        </w:rPr>
        <w:t xml:space="preserve">restocking tailwind</w:t>
      </w:r>
      <w:r>
        <w:t xml:space="preserve"> </w:t>
      </w:r>
      <w:r>
        <w:t xml:space="preserve">that management explicitly built into (but did not fully quantify within) its guidance.</w:t>
      </w:r>
    </w:p>
    <w:p>
      <w:pPr>
        <w:pStyle w:val="Compact"/>
        <w:numPr>
          <w:ilvl w:val="0"/>
          <w:numId w:val="1002"/>
        </w:numPr>
      </w:pPr>
      <w:r>
        <w:rPr>
          <w:b/>
          <w:bCs/>
        </w:rPr>
        <w:t xml:space="preserve">Nine-point recovery plan nearly finished.</w:t>
      </w:r>
      <w:r>
        <w:t xml:space="preserve"> </w:t>
      </w:r>
      <w:r>
        <w:t xml:space="preserve">Gross margin has already climbed from a 52% trough (March 2025) to 61.6% non-GAAP, with underutilization charges ($46.6 million in the March quarter) cited as the primary remaining gap to the long-term 65% gross-margin/25% opex/40% operating-margin model. Management guided underutilization charges to shrink further as fabs and back-end (Thailand/Philippines) facilities ramp.</w:t>
      </w:r>
    </w:p>
    <w:p>
      <w:pPr>
        <w:pStyle w:val="Compact"/>
        <w:numPr>
          <w:ilvl w:val="0"/>
          <w:numId w:val="1002"/>
        </w:numPr>
      </w:pPr>
      <w:r>
        <w:rPr>
          <w:b/>
          <w:bCs/>
        </w:rPr>
        <w:t xml:space="preserve">Broad-based demand recovery.</w:t>
      </w:r>
      <w:r>
        <w:t xml:space="preserve"> </w:t>
      </w:r>
      <w:r>
        <w:t xml:space="preserve">Automotive, industrial, communications, aerospace &amp; defense (A&amp;D), and data center were all described as improving, with A&amp;D and FPGA products cited as particular standouts, and "nearly all business units" expected to participate in June-quarter growth.</w:t>
      </w:r>
    </w:p>
    <w:p>
      <w:pPr>
        <w:pStyle w:val="Compact"/>
        <w:numPr>
          <w:ilvl w:val="0"/>
          <w:numId w:val="1002"/>
        </w:numPr>
      </w:pPr>
      <w:r>
        <w:rPr>
          <w:b/>
          <w:bCs/>
        </w:rPr>
        <w:t xml:space="preserve">Data Center Solutions momentum.</w:t>
      </w:r>
      <w:r>
        <w:t xml:space="preserve"> </w:t>
      </w:r>
      <w:r>
        <w:t xml:space="preserve">The business unit highlighted a Gen6 PCIe switch ramping into production, six new design wins secured ahead of that ramp, and a newly announced entry into the</w:t>
      </w:r>
      <w:r>
        <w:t xml:space="preserve"> </w:t>
      </w:r>
      <w:r>
        <w:rPr>
          <w:b/>
          <w:bCs/>
        </w:rPr>
        <w:t xml:space="preserve">PCIe retimer market</w:t>
      </w:r>
      <w:r>
        <w:t xml:space="preserve">, including a major OEM design win displacing a competitor. Storage and memory/CXL controllers were also cited as growing on AI inference/agentic workload demand.</w:t>
      </w:r>
    </w:p>
    <w:p>
      <w:pPr>
        <w:pStyle w:val="Compact"/>
        <w:numPr>
          <w:ilvl w:val="0"/>
          <w:numId w:val="1002"/>
        </w:numPr>
      </w:pPr>
      <w:r>
        <w:rPr>
          <w:b/>
          <w:bCs/>
        </w:rPr>
        <w:t xml:space="preserve">Balance sheet improving.</w:t>
      </w:r>
      <w:r>
        <w:t xml:space="preserve"> </w:t>
      </w:r>
      <w:r>
        <w:t xml:space="preserve">Net debt/adjusted EBITDA fell to 3.54x at March 31 (from 4.18x in December), and management expected it to drop below 3x by the end of the June quarter on the back of a "excellent cash generation quarter."</w:t>
      </w:r>
    </w:p>
    <w:p>
      <w:pPr>
        <w:pStyle w:val="Compact"/>
        <w:numPr>
          <w:ilvl w:val="0"/>
          <w:numId w:val="1002"/>
        </w:numPr>
      </w:pPr>
      <w:r>
        <w:rPr>
          <w:b/>
          <w:bCs/>
        </w:rPr>
        <w:t xml:space="preserve">Supply tightness = pricing power, not just risk.</w:t>
      </w:r>
      <w:r>
        <w:t xml:space="preserve"> </w:t>
      </w:r>
      <w:r>
        <w:t xml:space="preserve">Lead times have been extending broadly (foundry, substrate, and OSAT constraints spreading beyond niche areas), and expedite requests have risen — signs that end demand may be outrunning supply, which is generally a supportive dynamic for both revenue and margins if MCHP can source enough capacity.</w:t>
      </w:r>
    </w:p>
    <w:bookmarkEnd w:id="11"/>
    <w:bookmarkStart w:id="12" w:name="Xb83831ba17547a423ffde0b689756fb4d5473a6"/>
    <w:p>
      <w:pPr>
        <w:pStyle w:val="Heading2"/>
      </w:pPr>
      <w:r>
        <w:t xml:space="preserve">4. What's Changed Since the Last Print — Key Overhangs</w:t>
      </w:r>
    </w:p>
    <w:p>
      <w:pPr>
        <w:pStyle w:val="FirstParagraph"/>
      </w:pPr>
      <w:r>
        <w:t xml:space="preserve">Several company-specific developments since May are likely to dominate investor questions tomorrow, on top of the numbers themselves:</w:t>
      </w:r>
    </w:p>
    <w:p>
      <w:pPr>
        <w:pStyle w:val="Compact"/>
        <w:numPr>
          <w:ilvl w:val="0"/>
          <w:numId w:val="1003"/>
        </w:numPr>
      </w:pPr>
      <w:r>
        <w:rPr>
          <w:b/>
          <w:bCs/>
        </w:rPr>
        <w:t xml:space="preserve">COO Rich Simoncic is departing.</w:t>
      </w:r>
      <w:r>
        <w:t xml:space="preserve"> </w:t>
      </w:r>
      <w:r>
        <w:t xml:space="preserve">On July 23, Simoncic notified the company he is resigning as Chief Operating Officer, effective August 17, 2026, to become CEO of Menlo Microsystems, a private Irvine-based company. Simoncic had been a prominent voice on recent calls discussing the data center/AI and connectivity strategy, so investors will want clarity on succession and continuity of the Data Center Solutions/PCIe roadmap he had been championing.</w:t>
      </w:r>
    </w:p>
    <w:p>
      <w:pPr>
        <w:pStyle w:val="Compact"/>
        <w:numPr>
          <w:ilvl w:val="0"/>
          <w:numId w:val="1003"/>
        </w:numPr>
      </w:pPr>
      <w:r>
        <w:rPr>
          <w:b/>
          <w:bCs/>
        </w:rPr>
        <w:t xml:space="preserve">Hailo acquisition.</w:t>
      </w:r>
      <w:r>
        <w:t xml:space="preserve"> </w:t>
      </w:r>
      <w:r>
        <w:t xml:space="preserve">On July 24, Microchip signed a definitive agreement to acquire Hailo, an Israeli provider of accelerated edge AI processors, vision processing, and robotics processors, with the deal expected to close by September 30, 2026, subject to customary conditions; financial terms were not disclosed. This slots into the "AI on the Edge" pillar management created as part of its five-pillar business realignment, and questions about integration cost, revenue contribution, and strategic rationale are likely.</w:t>
      </w:r>
    </w:p>
    <w:p>
      <w:pPr>
        <w:pStyle w:val="Compact"/>
        <w:numPr>
          <w:ilvl w:val="0"/>
          <w:numId w:val="1003"/>
        </w:numPr>
      </w:pPr>
      <w:r>
        <w:rPr>
          <w:b/>
          <w:bCs/>
        </w:rPr>
        <w:t xml:space="preserve">Stock/estimate volatility.</w:t>
      </w:r>
      <w:r>
        <w:t xml:space="preserve"> </w:t>
      </w:r>
      <w:r>
        <w:t xml:space="preserve">Despite the strong fundamental setup, MCHP shares have fallen roughly 25% from their May peak, with several analysts trimming price targets in July even as ratings stayed constructive — suggesting the market is somewhat skeptical about the durability of the outsized growth rate, worried about capacity constraints capping upside, or reacting to the leadership change and broader semiconductor-sector volatility (e.g., AMD's disappointing Q3 revenue guidance rattled AI/semis sentiment around the same period, even as other data-center-linked suppliers like Astera Labs guided well above Street numbers).</w:t>
      </w:r>
    </w:p>
    <w:bookmarkEnd w:id="12"/>
    <w:bookmarkStart w:id="13" w:name="Xa3e2c4c404fb2cd5d012ccef7f849918261952b"/>
    <w:p>
      <w:pPr>
        <w:pStyle w:val="Heading2"/>
      </w:pPr>
      <w:r>
        <w:t xml:space="preserve">5. Key Questions/Watch-Items for the Call</w:t>
      </w:r>
    </w:p>
    <w:p>
      <w:pPr>
        <w:pStyle w:val="Compact"/>
        <w:numPr>
          <w:ilvl w:val="0"/>
          <w:numId w:val="1004"/>
        </w:numPr>
      </w:pPr>
      <w:r>
        <w:rPr>
          <w:b/>
          <w:bCs/>
        </w:rPr>
        <w:t xml:space="preserve">September-quarter guide:</w:t>
      </w:r>
      <w:r>
        <w:t xml:space="preserve"> </w:t>
      </w:r>
      <w:r>
        <w:t xml:space="preserve">Given backlog already tracking above prior-year comparable points and a "largest booking month in four years" in April, does management extend double-digit sequential growth into the seasonally strong September quarter, or does it get more cautious given capacity/substrate constraints?</w:t>
      </w:r>
    </w:p>
    <w:p>
      <w:pPr>
        <w:pStyle w:val="Compact"/>
        <w:numPr>
          <w:ilvl w:val="0"/>
          <w:numId w:val="1004"/>
        </w:numPr>
      </w:pPr>
      <w:r>
        <w:rPr>
          <w:b/>
          <w:bCs/>
        </w:rPr>
        <w:t xml:space="preserve">Gross margin cadence:</w:t>
      </w:r>
      <w:r>
        <w:t xml:space="preserve"> </w:t>
      </w:r>
      <w:r>
        <w:t xml:space="preserve">Are underutilization charges declining as fast as promised, and is the path to the 65% long-term gross-margin target still intact for FY2027?</w:t>
      </w:r>
    </w:p>
    <w:p>
      <w:pPr>
        <w:pStyle w:val="Compact"/>
        <w:numPr>
          <w:ilvl w:val="0"/>
          <w:numId w:val="1004"/>
        </w:numPr>
      </w:pPr>
      <w:r>
        <w:rPr>
          <w:b/>
          <w:bCs/>
        </w:rPr>
        <w:t xml:space="preserve">Restocking magnitude:</w:t>
      </w:r>
      <w:r>
        <w:t xml:space="preserve"> </w:t>
      </w:r>
      <w:r>
        <w:t xml:space="preserve">With distributor inventory at just 26 days, how much of the June-quarter beat (if any) was distributor restocking versus true sell-through, and how much runway remains?</w:t>
      </w:r>
    </w:p>
    <w:p>
      <w:pPr>
        <w:pStyle w:val="Compact"/>
        <w:numPr>
          <w:ilvl w:val="0"/>
          <w:numId w:val="1004"/>
        </w:numPr>
      </w:pPr>
      <w:r>
        <w:rPr>
          <w:b/>
          <w:bCs/>
        </w:rPr>
        <w:t xml:space="preserve">Capacity/lead-time commentary:</w:t>
      </w:r>
      <w:r>
        <w:t xml:space="preserve"> </w:t>
      </w:r>
      <w:r>
        <w:t xml:space="preserve">Has the broadening tightness in substrates, OSAT, and foundry capacity (flagged last quarter) worsened, and is it now capping revenue upside rather than just extending lead times?</w:t>
      </w:r>
    </w:p>
    <w:p>
      <w:pPr>
        <w:pStyle w:val="Compact"/>
        <w:numPr>
          <w:ilvl w:val="0"/>
          <w:numId w:val="1004"/>
        </w:numPr>
      </w:pPr>
      <w:r>
        <w:rPr>
          <w:b/>
          <w:bCs/>
        </w:rPr>
        <w:t xml:space="preserve">Leadership transition:</w:t>
      </w:r>
      <w:r>
        <w:t xml:space="preserve"> </w:t>
      </w:r>
      <w:r>
        <w:t xml:space="preserve">Who takes over COO responsibilities (or how are Simoncic's duties redistributed), and does this affect near-term execution on the Data Center Solutions/PCIe Gen6 roadmap?</w:t>
      </w:r>
    </w:p>
    <w:p>
      <w:pPr>
        <w:pStyle w:val="Compact"/>
        <w:numPr>
          <w:ilvl w:val="0"/>
          <w:numId w:val="1004"/>
        </w:numPr>
      </w:pPr>
      <w:r>
        <w:rPr>
          <w:b/>
          <w:bCs/>
        </w:rPr>
        <w:t xml:space="preserve">Hailo integration:</w:t>
      </w:r>
      <w:r>
        <w:t xml:space="preserve"> </w:t>
      </w:r>
      <w:r>
        <w:t xml:space="preserve">Expected close timing, deal economics, and how the acquisition fits with existing FPGA/edge-AI and microcontroller product lines.</w:t>
      </w:r>
    </w:p>
    <w:p>
      <w:pPr>
        <w:pStyle w:val="Compact"/>
        <w:numPr>
          <w:ilvl w:val="0"/>
          <w:numId w:val="1004"/>
        </w:numPr>
      </w:pPr>
      <w:r>
        <w:rPr>
          <w:b/>
          <w:bCs/>
        </w:rPr>
        <w:t xml:space="preserve">Fab 2 (Tempe) sale:</w:t>
      </w:r>
      <w:r>
        <w:t xml:space="preserve"> </w:t>
      </w:r>
      <w:r>
        <w:t xml:space="preserve">Status update, as this was the last unresolved item of the nine-point recovery plan as of May.</w:t>
      </w:r>
    </w:p>
    <w:p>
      <w:pPr>
        <w:pStyle w:val="Compact"/>
        <w:numPr>
          <w:ilvl w:val="0"/>
          <w:numId w:val="1004"/>
        </w:numPr>
      </w:pPr>
      <w:r>
        <w:rPr>
          <w:b/>
          <w:bCs/>
        </w:rPr>
        <w:t xml:space="preserve">Balance sheet:</w:t>
      </w:r>
      <w:r>
        <w:t xml:space="preserve"> </w:t>
      </w:r>
      <w:r>
        <w:t xml:space="preserve">Did net debt/EBITDA fall below 3x as targeted, and what's the updated capital-return/deleveraging cadence given the Series A Preferred dividend and convertible-note obligations?</w:t>
      </w:r>
    </w:p>
    <w:bookmarkEnd w:id="13"/>
    <w:bookmarkStart w:id="14" w:name="X49e34d9056703e0521ab3ce2e920b2c4ba97a36"/>
    <w:p>
      <w:pPr>
        <w:pStyle w:val="Heading2"/>
      </w:pPr>
      <w:r>
        <w:t xml:space="preserve">6. Bottom Line</w:t>
      </w:r>
    </w:p>
    <w:p>
      <w:pPr>
        <w:pStyle w:val="FirstParagraph"/>
      </w:pPr>
      <w:r>
        <w:t xml:space="preserve">Microchip goes into this print with a rare combination for a semiconductor company right now: an unusually clean, well-telegraphed demand and margin recovery story (inventory correction largely done, bookings/backlog accelerating, gross margins closing in on a 65% long-term target), set against real near-term uncertainty introduced by a COO departure, an unquantified acquisition (Hailo), and a stock that has already given back much of its post-Q4 rally. Given the company's recent track record of beating both revenue and EPS estimates (including a &gt;13% EPS surprise last quarter), the bar for an in-line-or-better print looks achievable — but with consensus already sitting near the top end of guidance, the September-quarter outlook and commentary on capacity constraints and leadership continuity are likely to matter more for the stock reaction than the June-quarter numbers themselves.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2026-08-06T01:11:38Z</dcterms:created>
  <dcterms:modified xsi:type="dcterms:W3CDTF">2026-08-06T01:11:38Z</dcterms:modified>
</cp:coreProperties>
</file>

<file path=docProps/custom.xml><?xml version="1.0" encoding="utf-8"?>
<Properties xmlns="http://schemas.openxmlformats.org/officeDocument/2006/custom-properties" xmlns:vt="http://schemas.openxmlformats.org/officeDocument/2006/docPropsVTypes"/>
</file>