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mchp-earnings-predictions--2026-08-06"/>
    <w:p>
      <w:pPr>
        <w:pStyle w:val="Heading1"/>
      </w:pPr>
      <w:r>
        <w:t xml:space="preserve">MCHP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~$1.48B vs. cons $1.46B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~$0.72 vs. cons $0.70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~63.2% vs. cons 62.8%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~$1.55B vs. cons $1.54B (fiscal Q2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~$0.83 vs. cons $0.81 (fiscal Q2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Non-GAAP gross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~63.9% vs. cons 63.7% (fiscal Q2 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MCHP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+7.0% (FOLLOW-THROUGH)</w:t>
            </w:r>
          </w:p>
        </w:tc>
        <w:tc>
          <w:tcPr/>
          <w:p>
            <w:pPr>
              <w:pStyle w:val="Compact"/>
            </w:pPr>
            <w:r>
              <w:t xml:space="preserve">A modest beat and above-consensus fiscal Q2 2027 revenue/EPS guide should lift forward estimates; the implied margin progression supports revisions rather than out-period cuts, taking the residual from ~+5.2% on day 1 to ~+7.0% cumulatively by day 5.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2026-08-06T01:05:23Z</dcterms:created>
  <dcterms:modified xsi:type="dcterms:W3CDTF">2026-08-06T01:05:23Z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