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e66527e2bcff398b8b8607a1fff345ce4e18b02"/>
    <w:p>
      <w:pPr>
        <w:pStyle w:val="Heading1"/>
      </w:pPr>
      <w:r>
        <w:t xml:space="preserve">Microchip Technology (MCHP) Fiscal Q1 2027 Earnings Preview</w:t>
      </w:r>
    </w:p>
    <w:p>
      <w:pPr>
        <w:pStyle w:val="BlockText"/>
      </w:pPr>
      <w:r>
        <w:rPr>
          <w:b/>
          <w:bCs/>
        </w:rPr>
        <w:t xml:space="preserve">Date clarification:</w:t>
      </w:r>
      <w:r>
        <w:t xml:space="preserve"> </w:t>
      </w:r>
      <w:r>
        <w:t xml:space="preserve">MCHP is scheduled to report</w:t>
      </w:r>
      <w:r>
        <w:t xml:space="preserve"> </w:t>
      </w:r>
      <w:r>
        <w:rPr>
          <w:b/>
          <w:bCs/>
        </w:rPr>
        <w:t xml:space="preserve">today, Thursday, August 6, 2026</w:t>
      </w:r>
      <w:r>
        <w:t xml:space="preserve">, after the market close—not tomorrow. The earnings call is scheduled for 5:00 p.m. ET. (</w:t>
      </w:r>
      <w:hyperlink r:id="rId9">
        <w:r>
          <w:rPr>
            <w:rStyle w:val="Hyperlink"/>
          </w:rPr>
          <w:t xml:space="preserve">marketbeat.com</w:t>
        </w:r>
      </w:hyperlink>
      <w:r>
        <w:t xml:space="preserve">)</w:t>
      </w:r>
    </w:p>
    <w:bookmarkStart w:id="10" w:name="investment-view-going-into-the-report"/>
    <w:p>
      <w:pPr>
        <w:pStyle w:val="Heading2"/>
      </w:pPr>
      <w:r>
        <w:t xml:space="preserve">Investment view going into the report</w:t>
      </w:r>
    </w:p>
    <w:p>
      <w:pPr>
        <w:pStyle w:val="FirstParagraph"/>
      </w:pPr>
      <w:r>
        <w:t xml:space="preserve">This report is less about whether Microchip hits the June-quarter numbers—which are already closely bracketed by company guidance—and more about whether management can demonstrate that its recovery is becoming</w:t>
      </w:r>
      <w:r>
        <w:t xml:space="preserve"> </w:t>
      </w:r>
      <w:r>
        <w:rPr>
          <w:b/>
          <w:bCs/>
        </w:rPr>
        <w:t xml:space="preserve">durable, broad-based and cash-generative</w:t>
      </w:r>
      <w:r>
        <w:t xml:space="preserve">.</w:t>
      </w:r>
    </w:p>
    <w:p>
      <w:pPr>
        <w:pStyle w:val="BodyText"/>
      </w:pPr>
      <w:r>
        <w:t xml:space="preserve">The key swing factor will be the</w:t>
      </w:r>
      <w:r>
        <w:t xml:space="preserve"> </w:t>
      </w:r>
      <w:r>
        <w:rPr>
          <w:b/>
          <w:bCs/>
        </w:rPr>
        <w:t xml:space="preserve">September-quarter outlook</w:t>
      </w:r>
      <w:r>
        <w:t xml:space="preserve">. Investors need evidence that:</w:t>
      </w:r>
    </w:p>
    <w:p>
      <w:pPr>
        <w:pStyle w:val="Compact"/>
        <w:numPr>
          <w:ilvl w:val="0"/>
          <w:numId w:val="1001"/>
        </w:numPr>
      </w:pPr>
      <w:r>
        <w:t xml:space="preserve">Customer and distributor inventory corrections are genuinely over.</w:t>
      </w:r>
    </w:p>
    <w:p>
      <w:pPr>
        <w:pStyle w:val="Compact"/>
        <w:numPr>
          <w:ilvl w:val="0"/>
          <w:numId w:val="1001"/>
        </w:numPr>
      </w:pPr>
      <w:r>
        <w:t xml:space="preserve">Revenue can keep growing after two unusually strong sequential quarters.</w:t>
      </w:r>
    </w:p>
    <w:p>
      <w:pPr>
        <w:pStyle w:val="Compact"/>
        <w:numPr>
          <w:ilvl w:val="0"/>
          <w:numId w:val="1001"/>
        </w:numPr>
      </w:pPr>
      <w:r>
        <w:t xml:space="preserve">Factory utilization is translating into rapid margin expansion.</w:t>
      </w:r>
    </w:p>
    <w:p>
      <w:pPr>
        <w:pStyle w:val="Compact"/>
        <w:numPr>
          <w:ilvl w:val="0"/>
          <w:numId w:val="1001"/>
        </w:numPr>
      </w:pPr>
      <w:r>
        <w:t xml:space="preserve">Supply constraints are manageable rather than becoming a ceiling on growth.</w:t>
      </w:r>
    </w:p>
    <w:p>
      <w:pPr>
        <w:pStyle w:val="Compact"/>
        <w:numPr>
          <w:ilvl w:val="0"/>
          <w:numId w:val="1001"/>
        </w:numPr>
      </w:pPr>
      <w:r>
        <w:t xml:space="preserve">Improving earnings and cash flow are producing actual debt reduction.</w:t>
      </w:r>
    </w:p>
    <w:p>
      <w:pPr>
        <w:pStyle w:val="Compact"/>
        <w:numPr>
          <w:ilvl w:val="0"/>
          <w:numId w:val="1001"/>
        </w:numPr>
      </w:pPr>
      <w:r>
        <w:t xml:space="preserve">Recent management turnover and the pending Hailo acquisition will not distract from execution.</w:t>
      </w:r>
    </w:p>
    <w:p>
      <w:pPr>
        <w:pStyle w:val="FirstParagraph"/>
      </w:pPr>
      <w:r>
        <w:t xml:space="preserve">MCHP shares closed August 5 at</w:t>
      </w:r>
      <w:r>
        <w:t xml:space="preserve"> </w:t>
      </w:r>
      <w:r>
        <w:rPr>
          <w:b/>
          <w:bCs/>
        </w:rPr>
        <w:t xml:space="preserve">$77.81</w:t>
      </w:r>
      <w:r>
        <w:t xml:space="preserve">, roughly</w:t>
      </w:r>
      <w:r>
        <w:t xml:space="preserve"> </w:t>
      </w:r>
      <w:r>
        <w:rPr>
          <w:b/>
          <w:bCs/>
        </w:rPr>
        <w:t xml:space="preserve">23% below their May 7 close</w:t>
      </w:r>
      <w:r>
        <w:t xml:space="preserve">. That decline suggests expectations have reset, but it also reflects skepticism about how long the cyclical rebound will last.</w:t>
      </w:r>
    </w:p>
    <w:p>
      <w:r>
        <w:pict>
          <v:rect style="width:0;height:1.5pt" o:hralign="center" o:hrstd="t" o:hr="t"/>
        </w:pict>
      </w:r>
    </w:p>
    <w:bookmarkEnd w:id="10"/>
    <w:bookmarkStart w:id="12" w:name="the-scoreboard"/>
    <w:p>
      <w:pPr>
        <w:pStyle w:val="Heading2"/>
      </w:pPr>
      <w:r>
        <w:t xml:space="preserve">The scoreboard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Fiscal Q4 2026 actual</w:t>
            </w:r>
          </w:p>
        </w:tc>
        <w:tc>
          <w:tcPr/>
          <w:p>
            <w:pPr>
              <w:pStyle w:val="Compact"/>
              <w:jc w:val="right"/>
            </w:pPr>
            <w:r>
              <w:t xml:space="preserve">Fiscal Q1 2027 guidance</w:t>
            </w:r>
          </w:p>
        </w:tc>
        <w:tc>
          <w:tcPr/>
          <w:p>
            <w:pPr>
              <w:pStyle w:val="Compact"/>
            </w:pPr>
            <w:r>
              <w:t xml:space="preserve">What matters</w:t>
            </w:r>
          </w:p>
        </w:tc>
      </w:tr>
      <w:tr>
        <w:tc>
          <w:tcPr/>
          <w:p>
            <w:pPr>
              <w:pStyle w:val="Compact"/>
            </w:pPr>
            <w:r>
              <w:t xml:space="preserve">Revenue</w:t>
            </w:r>
          </w:p>
        </w:tc>
        <w:tc>
          <w:tcPr/>
          <w:p>
            <w:pPr>
              <w:pStyle w:val="Compact"/>
              <w:jc w:val="right"/>
            </w:pPr>
            <w:r>
              <w:t xml:space="preserve">$1.311B</w:t>
            </w:r>
          </w:p>
        </w:tc>
        <w:tc>
          <w:tcPr/>
          <w:p>
            <w:pPr>
              <w:pStyle w:val="Compact"/>
              <w:jc w:val="right"/>
            </w:pPr>
            <m:oMath>
              <m:r>
                <m:t>1.442</m:t>
              </m:r>
              <m:r>
                <m:t>B</m:t>
              </m:r>
              <m:r>
                <m:rPr>
                  <m:sty m:val="p"/>
                </m:rPr>
                <m:t>–</m:t>
              </m:r>
            </m:oMath>
            <w:r>
              <w:t xml:space="preserve">1.469B</w:t>
            </w:r>
          </w:p>
        </w:tc>
        <w:tc>
          <w:tcPr/>
          <w:p>
            <w:pPr>
              <w:pStyle w:val="Compact"/>
            </w:pPr>
            <w:r>
              <w:t xml:space="preserve">High end or better would confirm demand momentum</w:t>
            </w:r>
          </w:p>
        </w:tc>
      </w:tr>
      <w:tr>
        <w:tc>
          <w:tcPr/>
          <w:p>
            <w:pPr>
              <w:pStyle w:val="Compact"/>
            </w:pPr>
            <w:r>
              <w:t xml:space="preserve">Sequential revenue growth</w:t>
            </w:r>
          </w:p>
        </w:tc>
        <w:tc>
          <w:tcPr/>
          <w:p>
            <w:pPr>
              <w:pStyle w:val="Compact"/>
              <w:jc w:val="right"/>
            </w:pPr>
            <w:r>
              <w:t xml:space="preserve">+10.6%</w:t>
            </w:r>
          </w:p>
        </w:tc>
        <w:tc>
          <w:tcPr/>
          <w:p>
            <w:pPr>
              <w:pStyle w:val="Compact"/>
              <w:jc w:val="right"/>
            </w:pPr>
            <w:r>
              <w:t xml:space="preserve">Approximately +10% to +12%</w:t>
            </w:r>
          </w:p>
        </w:tc>
        <w:tc>
          <w:tcPr/>
          <w:p>
            <w:pPr>
              <w:pStyle w:val="Compact"/>
            </w:pPr>
            <w:r>
              <w:t xml:space="preserve">Another very strong quarter; September guide is the real test</w:t>
            </w:r>
          </w:p>
        </w:tc>
      </w:tr>
      <w:tr>
        <w:tc>
          <w:tcPr/>
          <w:p>
            <w:pPr>
              <w:pStyle w:val="Compact"/>
            </w:pPr>
            <w:r>
              <w:t xml:space="preserve">Non-GAAP gross margin</w:t>
            </w:r>
          </w:p>
        </w:tc>
        <w:tc>
          <w:tcPr/>
          <w:p>
            <w:pPr>
              <w:pStyle w:val="Compact"/>
              <w:jc w:val="right"/>
            </w:pPr>
            <w:r>
              <w:t xml:space="preserve">61.6%</w:t>
            </w:r>
          </w:p>
        </w:tc>
        <w:tc>
          <w:tcPr/>
          <w:p>
            <w:pPr>
              <w:pStyle w:val="Compact"/>
              <w:jc w:val="right"/>
            </w:pPr>
            <w:r>
              <w:t xml:space="preserve">62.25%–63.25%</w:t>
            </w:r>
          </w:p>
        </w:tc>
        <w:tc>
          <w:tcPr/>
          <w:p>
            <w:pPr>
              <w:pStyle w:val="Compact"/>
            </w:pPr>
            <w:r>
              <w:t xml:space="preserve">Utilization-driven recovery toward 65%</w:t>
            </w:r>
          </w:p>
        </w:tc>
      </w:tr>
      <w:tr>
        <w:tc>
          <w:tcPr/>
          <w:p>
            <w:pPr>
              <w:pStyle w:val="Compact"/>
            </w:pPr>
            <w:r>
              <w:t xml:space="preserve">Non-GAAP operating margin</w:t>
            </w:r>
          </w:p>
        </w:tc>
        <w:tc>
          <w:tcPr/>
          <w:p>
            <w:pPr>
              <w:pStyle w:val="Compact"/>
              <w:jc w:val="right"/>
            </w:pPr>
            <w:r>
              <w:t xml:space="preserve">30.6%</w:t>
            </w:r>
          </w:p>
        </w:tc>
        <w:tc>
          <w:tcPr/>
          <w:p>
            <w:pPr>
              <w:pStyle w:val="Compact"/>
              <w:jc w:val="right"/>
            </w:pPr>
            <w:r>
              <w:t xml:space="preserve">33.0%–34.5%</w:t>
            </w:r>
          </w:p>
        </w:tc>
        <w:tc>
          <w:tcPr/>
          <w:p>
            <w:pPr>
              <w:pStyle w:val="Compact"/>
            </w:pPr>
            <w:r>
              <w:t xml:space="preserve">Demonstrates operating leverage</w:t>
            </w:r>
          </w:p>
        </w:tc>
      </w:tr>
      <w:tr>
        <w:tc>
          <w:tcPr/>
          <w:p>
            <w:pPr>
              <w:pStyle w:val="Compact"/>
            </w:pPr>
            <w:r>
              <w:t xml:space="preserve">Non-GAAP EPS</w:t>
            </w:r>
          </w:p>
        </w:tc>
        <w:tc>
          <w:tcPr/>
          <w:p>
            <w:pPr>
              <w:pStyle w:val="Compact"/>
              <w:jc w:val="right"/>
            </w:pPr>
            <w:r>
              <w:t xml:space="preserve">$0.57</w:t>
            </w:r>
          </w:p>
        </w:tc>
        <w:tc>
          <w:tcPr/>
          <w:p>
            <w:pPr>
              <w:pStyle w:val="Compact"/>
              <w:jc w:val="right"/>
            </w:pPr>
            <m:oMath>
              <m:r>
                <m:t>0.67</m:t>
              </m:r>
              <m:r>
                <m:rPr>
                  <m:sty m:val="p"/>
                </m:rPr>
                <m:t>–</m:t>
              </m:r>
            </m:oMath>
            <w:r>
              <w:t xml:space="preserve">0.71</w:t>
            </w:r>
          </w:p>
        </w:tc>
        <w:tc>
          <w:tcPr/>
          <w:p>
            <w:pPr>
              <w:pStyle w:val="Compact"/>
            </w:pPr>
            <w:r>
              <w:t xml:space="preserve">Public consensus is around $0.70</w:t>
            </w:r>
          </w:p>
        </w:tc>
      </w:tr>
      <w:tr>
        <w:tc>
          <w:tcPr/>
          <w:p>
            <w:pPr>
              <w:pStyle w:val="Compact"/>
            </w:pPr>
            <w:r>
              <w:t xml:space="preserve">Company inventory</w:t>
            </w:r>
          </w:p>
        </w:tc>
        <w:tc>
          <w:tcPr/>
          <w:p>
            <w:pPr>
              <w:pStyle w:val="Compact"/>
              <w:jc w:val="right"/>
            </w:pPr>
            <w:r>
              <w:t xml:space="preserve">185 days</w:t>
            </w:r>
          </w:p>
        </w:tc>
        <w:tc>
          <w:tcPr/>
          <w:p>
            <w:pPr>
              <w:pStyle w:val="Compact"/>
              <w:jc w:val="right"/>
            </w:pPr>
            <w:r>
              <w:t xml:space="preserve">No formal target for quarter</w:t>
            </w:r>
          </w:p>
        </w:tc>
        <w:tc>
          <w:tcPr/>
          <w:p>
            <w:pPr>
              <w:pStyle w:val="Compact"/>
            </w:pPr>
            <w:r>
              <w:t xml:space="preserve">Should continue toward long-term 130–150 days</w:t>
            </w:r>
          </w:p>
        </w:tc>
      </w:tr>
      <w:tr>
        <w:tc>
          <w:tcPr/>
          <w:p>
            <w:pPr>
              <w:pStyle w:val="Compact"/>
            </w:pPr>
            <w:r>
              <w:t xml:space="preserve">Distributor inventory</w:t>
            </w:r>
          </w:p>
        </w:tc>
        <w:tc>
          <w:tcPr/>
          <w:p>
            <w:pPr>
              <w:pStyle w:val="Compact"/>
              <w:jc w:val="right"/>
            </w:pPr>
            <w:r>
              <w:t xml:space="preserve">26 days</w:t>
            </w:r>
          </w:p>
        </w:tc>
        <w:tc>
          <w:tcPr/>
          <w:p>
            <w:pPr>
              <w:pStyle w:val="Compact"/>
              <w:jc w:val="right"/>
            </w:pPr>
            <w:r>
              <w:t xml:space="preserve">—</w:t>
            </w:r>
          </w:p>
        </w:tc>
        <w:tc>
          <w:tcPr/>
          <w:p>
            <w:pPr>
              <w:pStyle w:val="Compact"/>
            </w:pPr>
            <w:r>
              <w:t xml:space="preserve">Low enough to support some channel restocking</w:t>
            </w:r>
          </w:p>
        </w:tc>
      </w:tr>
    </w:tbl>
    <w:p>
      <w:pPr>
        <w:pStyle w:val="BodyText"/>
      </w:pPr>
      <w:r>
        <w:t xml:space="preserve">Public consensus feeds generally sit around</w:t>
      </w:r>
      <w:r>
        <w:t xml:space="preserve"> </w:t>
      </w:r>
      <w:r>
        <w:rPr>
          <w:b/>
          <w:bCs/>
        </w:rPr>
        <w:t xml:space="preserve">$1.46 billion of revenue and $0.70 of non-GAAP EPS</w:t>
      </w:r>
      <w:r>
        <w:t xml:space="preserve">, effectively the midpoint of management's range. Therefore, a modest reported beat alone may not be enough; the September guide and commentary will likely determine the reaction. (</w:t>
      </w:r>
      <w:hyperlink r:id="rId9">
        <w:r>
          <w:rPr>
            <w:rStyle w:val="Hyperlink"/>
          </w:rPr>
          <w:t xml:space="preserve">marketbeat.com</w:t>
        </w:r>
      </w:hyperlink>
      <w:r>
        <w:t xml:space="preserve">)</w:t>
      </w:r>
    </w:p>
    <w:p>
      <w:pPr>
        <w:pStyle w:val="BodyText"/>
      </w:pPr>
      <w:r>
        <w:t xml:space="preserve">MCHP entered the quarter following a major March-quarter beat: revenue reached $1.311 billion, up 10.6% sequentially and 35.1% year over year, while non-GAAP EPS of $0.57 exceeded management's prior range of</w:t>
      </w:r>
      <w:r>
        <w:t xml:space="preserve"> </w:t>
      </w:r>
      <m:oMath>
        <m:r>
          <m:t>0.48</m:t>
        </m:r>
        <m:r>
          <m:rPr>
            <m:sty m:val="p"/>
          </m:rPr>
          <m:t>–</m:t>
        </m:r>
      </m:oMath>
      <w:r>
        <w:t xml:space="preserve">0.52. (</w:t>
      </w:r>
      <w:hyperlink r:id="rId11">
        <w:r>
          <w:rPr>
            <w:rStyle w:val="Hyperlink"/>
          </w:rPr>
          <w:t xml:space="preserve">ir.microchip.com</w:t>
        </w:r>
      </w:hyperlink>
      <w:r>
        <w:t xml:space="preserve">)</w:t>
      </w:r>
    </w:p>
    <w:p>
      <w:r>
        <w:pict>
          <v:rect style="width:0;height:1.5pt" o:hralign="center" o:hrstd="t" o:hr="t"/>
        </w:pict>
      </w:r>
    </w:p>
    <w:bookmarkEnd w:id="12"/>
    <w:bookmarkStart w:id="15" w:name="Xd416c50cc1f1bf724069471f6e222cb63c3f073"/>
    <w:p>
      <w:pPr>
        <w:pStyle w:val="Heading2"/>
      </w:pPr>
      <w:r>
        <w:t xml:space="preserve">1. The September guide is the main event</w:t>
      </w:r>
    </w:p>
    <w:p>
      <w:pPr>
        <w:pStyle w:val="FirstParagraph"/>
      </w:pPr>
      <w:r>
        <w:t xml:space="preserve">MCHP's June guidance implies another</w:t>
      </w:r>
      <w:r>
        <w:t xml:space="preserve"> </w:t>
      </w:r>
      <w:r>
        <w:rPr>
          <w:b/>
          <w:bCs/>
        </w:rPr>
        <w:t xml:space="preserve">11% sequential revenue increase at the midpoint</w:t>
      </w:r>
      <w:r>
        <w:t xml:space="preserve">, following 10.6% growth in March. That is substantially stronger than ordinary seasonality and was attributed to:</w:t>
      </w:r>
    </w:p>
    <w:p>
      <w:pPr>
        <w:pStyle w:val="Compact"/>
        <w:numPr>
          <w:ilvl w:val="0"/>
          <w:numId w:val="1002"/>
        </w:numPr>
      </w:pPr>
      <w:r>
        <w:t xml:space="preserve">Normalization of inventory at distributors and end customers.</w:t>
      </w:r>
    </w:p>
    <w:p>
      <w:pPr>
        <w:pStyle w:val="Compact"/>
        <w:numPr>
          <w:ilvl w:val="0"/>
          <w:numId w:val="1002"/>
        </w:numPr>
      </w:pPr>
      <w:r>
        <w:t xml:space="preserve">Customers returning to normal purchasing patterns.</w:t>
      </w:r>
    </w:p>
    <w:p>
      <w:pPr>
        <w:pStyle w:val="Compact"/>
        <w:numPr>
          <w:ilvl w:val="0"/>
          <w:numId w:val="1002"/>
        </w:numPr>
      </w:pPr>
      <w:r>
        <w:t xml:space="preserve">Improving industrial and automotive demand.</w:t>
      </w:r>
    </w:p>
    <w:p>
      <w:pPr>
        <w:pStyle w:val="Compact"/>
        <w:numPr>
          <w:ilvl w:val="0"/>
          <w:numId w:val="1002"/>
        </w:numPr>
      </w:pPr>
      <w:r>
        <w:t xml:space="preserve">Strong aerospace and defense and data-center demand.</w:t>
      </w:r>
    </w:p>
    <w:p>
      <w:pPr>
        <w:pStyle w:val="Compact"/>
        <w:numPr>
          <w:ilvl w:val="0"/>
          <w:numId w:val="1002"/>
        </w:numPr>
      </w:pPr>
      <w:r>
        <w:t xml:space="preserve">Customer wins stemming from repaired commercial relationships.</w:t>
      </w:r>
    </w:p>
    <w:p>
      <w:pPr>
        <w:pStyle w:val="Compact"/>
        <w:numPr>
          <w:ilvl w:val="0"/>
          <w:numId w:val="1002"/>
        </w:numPr>
      </w:pPr>
      <w:r>
        <w:t xml:space="preserve">Some distribution restocking from unusually low channel inventory.</w:t>
      </w:r>
    </w:p>
    <w:p>
      <w:pPr>
        <w:pStyle w:val="FirstParagraph"/>
      </w:pPr>
      <w:r>
        <w:t xml:space="preserve">On the May call, management said September-quarter backlog was already higher than June-quarter backlog at the comparable point, although it declined to forecast a growth rate.</w:t>
      </w:r>
    </w:p>
    <w:bookmarkStart w:id="13" w:name="what-would-be-constructive"/>
    <w:p>
      <w:pPr>
        <w:pStyle w:val="Heading3"/>
      </w:pPr>
      <w:r>
        <w:t xml:space="preserve">What would be constructive</w:t>
      </w:r>
    </w:p>
    <w:p>
      <w:pPr>
        <w:pStyle w:val="FirstParagraph"/>
      </w:pPr>
      <w:r>
        <w:t xml:space="preserve">A September outlook calling for</w:t>
      </w:r>
      <w:r>
        <w:t xml:space="preserve"> </w:t>
      </w:r>
      <w:r>
        <w:rPr>
          <w:b/>
          <w:bCs/>
        </w:rPr>
        <w:t xml:space="preserve">continued sequential growth</w:t>
      </w:r>
      <w:r>
        <w:t xml:space="preserve">, ideally at least in the mid-single digits, would support the argument that this is more than a two-quarter restocking event.</w:t>
      </w:r>
    </w:p>
    <w:bookmarkEnd w:id="13"/>
    <w:bookmarkStart w:id="14" w:name="what-would-be-concerning"/>
    <w:p>
      <w:pPr>
        <w:pStyle w:val="Heading3"/>
      </w:pPr>
      <w:r>
        <w:t xml:space="preserve">What would be concerning</w:t>
      </w:r>
    </w:p>
    <w:p>
      <w:pPr>
        <w:pStyle w:val="FirstParagraph"/>
      </w:pPr>
      <w:r>
        <w:t xml:space="preserve">A flat or declining September guide would raise questions about whether:</w:t>
      </w:r>
    </w:p>
    <w:p>
      <w:pPr>
        <w:pStyle w:val="Compact"/>
        <w:numPr>
          <w:ilvl w:val="0"/>
          <w:numId w:val="1003"/>
        </w:numPr>
      </w:pPr>
      <w:r>
        <w:t xml:space="preserve">June pulled demand forward.</w:t>
      </w:r>
    </w:p>
    <w:p>
      <w:pPr>
        <w:pStyle w:val="Compact"/>
        <w:numPr>
          <w:ilvl w:val="0"/>
          <w:numId w:val="1003"/>
        </w:numPr>
      </w:pPr>
      <w:r>
        <w:t xml:space="preserve">Distributor restocking temporarily inflated sell-in.</w:t>
      </w:r>
    </w:p>
    <w:p>
      <w:pPr>
        <w:pStyle w:val="Compact"/>
        <w:numPr>
          <w:ilvl w:val="0"/>
          <w:numId w:val="1003"/>
        </w:numPr>
      </w:pPr>
      <w:r>
        <w:t xml:space="preserve">Industrial and automotive end demand remains uneven.</w:t>
      </w:r>
    </w:p>
    <w:p>
      <w:pPr>
        <w:pStyle w:val="Compact"/>
        <w:numPr>
          <w:ilvl w:val="0"/>
          <w:numId w:val="1003"/>
        </w:numPr>
      </w:pPr>
      <w:r>
        <w:t xml:space="preserve">Supply constraints are preventing MCHP from converting bookings into revenue.</w:t>
      </w:r>
    </w:p>
    <w:p>
      <w:pPr>
        <w:pStyle w:val="FirstParagraph"/>
      </w:pPr>
      <w:r>
        <w:t xml:space="preserve">Investors should listen closely for the distinction between</w:t>
      </w:r>
      <w:r>
        <w:t xml:space="preserve"> </w:t>
      </w:r>
      <w:r>
        <w:rPr>
          <w:b/>
          <w:bCs/>
        </w:rPr>
        <w:t xml:space="preserve">sell-through, sell-in and true end demand</w:t>
      </w:r>
      <w:r>
        <w:t xml:space="preserve">.</w:t>
      </w:r>
    </w:p>
    <w:p>
      <w:r>
        <w:pict>
          <v:rect style="width:0;height:1.5pt" o:hralign="center" o:hrstd="t" o:hr="t"/>
        </w:pict>
      </w:r>
    </w:p>
    <w:bookmarkEnd w:id="14"/>
    <w:bookmarkEnd w:id="15"/>
    <w:bookmarkStart w:id="17" w:name="X93d229ec6f92bee3509bc8db22015da167f87d6"/>
    <w:p>
      <w:pPr>
        <w:pStyle w:val="Heading2"/>
      </w:pPr>
      <w:r>
        <w:t xml:space="preserve">2. Margin expansion should remain a central part of the thesis</w:t>
      </w:r>
    </w:p>
    <w:p>
      <w:pPr>
        <w:pStyle w:val="FirstParagraph"/>
      </w:pPr>
      <w:r>
        <w:t xml:space="preserve">The recovery is producing significant operating leverage. At the midpoint of June guidance:</w:t>
      </w:r>
    </w:p>
    <w:p>
      <w:pPr>
        <w:pStyle w:val="Compact"/>
        <w:numPr>
          <w:ilvl w:val="0"/>
          <w:numId w:val="1004"/>
        </w:numPr>
      </w:pPr>
      <w:r>
        <w:t xml:space="preserve">Gross margin rises about</w:t>
      </w:r>
      <w:r>
        <w:t xml:space="preserve"> </w:t>
      </w:r>
      <w:r>
        <w:rPr>
          <w:b/>
          <w:bCs/>
        </w:rPr>
        <w:t xml:space="preserve">115 basis points sequentially</w:t>
      </w:r>
      <w:r>
        <w:t xml:space="preserve">.</w:t>
      </w:r>
    </w:p>
    <w:p>
      <w:pPr>
        <w:pStyle w:val="Compact"/>
        <w:numPr>
          <w:ilvl w:val="0"/>
          <w:numId w:val="1004"/>
        </w:numPr>
      </w:pPr>
      <w:r>
        <w:t xml:space="preserve">Operating margin rises about</w:t>
      </w:r>
      <w:r>
        <w:t xml:space="preserve"> </w:t>
      </w:r>
      <w:r>
        <w:rPr>
          <w:b/>
          <w:bCs/>
        </w:rPr>
        <w:t xml:space="preserve">315 basis points</w:t>
      </w:r>
      <w:r>
        <w:t xml:space="preserve">.</w:t>
      </w:r>
    </w:p>
    <w:p>
      <w:pPr>
        <w:pStyle w:val="Compact"/>
        <w:numPr>
          <w:ilvl w:val="0"/>
          <w:numId w:val="1004"/>
        </w:numPr>
      </w:pPr>
      <w:r>
        <w:t xml:space="preserve">EPS increases about</w:t>
      </w:r>
      <w:r>
        <w:t xml:space="preserve"> </w:t>
      </w:r>
      <w:r>
        <w:rPr>
          <w:b/>
          <w:bCs/>
        </w:rPr>
        <w:t xml:space="preserve">21% sequentially</w:t>
      </w:r>
      <w:r>
        <w:t xml:space="preserve">, versus 11% revenue growth.</w:t>
      </w:r>
    </w:p>
    <w:p>
      <w:pPr>
        <w:pStyle w:val="FirstParagraph"/>
      </w:pPr>
      <w:r>
        <w:t xml:space="preserve">MCHP incurred $46.6 million of manufacturing underutilization expense in the March quarter, equivalent to approximately 3.6 percentage points of revenue. Management said that excluding this burden, gross margin was already roughly consistent with its</w:t>
      </w:r>
      <w:r>
        <w:t xml:space="preserve"> </w:t>
      </w:r>
      <w:r>
        <w:rPr>
          <w:b/>
          <w:bCs/>
        </w:rPr>
        <w:t xml:space="preserve">65% long-term target</w:t>
      </w:r>
      <w:r>
        <w:t xml:space="preserve">.</w:t>
      </w:r>
    </w:p>
    <w:p>
      <w:pPr>
        <w:pStyle w:val="BodyText"/>
      </w:pPr>
      <w:r>
        <w:t xml:space="preserve">The core margin question is therefore not whether MCHP can mathematically reach 65%, but</w:t>
      </w:r>
      <w:r>
        <w:t xml:space="preserve"> </w:t>
      </w:r>
      <w:r>
        <w:rPr>
          <w:b/>
          <w:bCs/>
        </w:rPr>
        <w:t xml:space="preserve">how quickly underutilization charges decline without rebuilding excess inventory</w:t>
      </w:r>
      <w:r>
        <w:t xml:space="preserve">.</w:t>
      </w:r>
    </w:p>
    <w:bookmarkStart w:id="16" w:name="key-items-to-monitor"/>
    <w:p>
      <w:pPr>
        <w:pStyle w:val="Heading3"/>
      </w:pPr>
      <w:r>
        <w:t xml:space="preserve">Key items to monitor</w:t>
      </w:r>
    </w:p>
    <w:p>
      <w:pPr>
        <w:pStyle w:val="Compact"/>
        <w:numPr>
          <w:ilvl w:val="0"/>
          <w:numId w:val="1005"/>
        </w:numPr>
      </w:pPr>
      <w:r>
        <w:t xml:space="preserve">Underutilization expense in dollars.</w:t>
      </w:r>
    </w:p>
    <w:p>
      <w:pPr>
        <w:pStyle w:val="Compact"/>
        <w:numPr>
          <w:ilvl w:val="0"/>
          <w:numId w:val="1005"/>
        </w:numPr>
      </w:pPr>
      <w:r>
        <w:t xml:space="preserve">Front-end fab and back-end assembly utilization.</w:t>
      </w:r>
    </w:p>
    <w:p>
      <w:pPr>
        <w:pStyle w:val="Compact"/>
        <w:numPr>
          <w:ilvl w:val="0"/>
          <w:numId w:val="1005"/>
        </w:numPr>
      </w:pPr>
      <w:r>
        <w:t xml:space="preserve">Inventory reserve charges and benefits from previously written-off inventory.</w:t>
      </w:r>
    </w:p>
    <w:p>
      <w:pPr>
        <w:pStyle w:val="Compact"/>
        <w:numPr>
          <w:ilvl w:val="0"/>
          <w:numId w:val="1005"/>
        </w:numPr>
      </w:pPr>
      <w:r>
        <w:t xml:space="preserve">Product mix, especially data center, FPGA and aerospace/defense.</w:t>
      </w:r>
    </w:p>
    <w:p>
      <w:pPr>
        <w:pStyle w:val="Compact"/>
        <w:numPr>
          <w:ilvl w:val="0"/>
          <w:numId w:val="1005"/>
        </w:numPr>
      </w:pPr>
      <w:r>
        <w:t xml:space="preserve">Foundry, substrate and other input-cost inflation.</w:t>
      </w:r>
    </w:p>
    <w:p>
      <w:pPr>
        <w:pStyle w:val="Compact"/>
        <w:numPr>
          <w:ilvl w:val="0"/>
          <w:numId w:val="1005"/>
        </w:numPr>
      </w:pPr>
      <w:r>
        <w:t xml:space="preserve">Whether September gross-margin guidance continues to rise.</w:t>
      </w:r>
    </w:p>
    <w:p>
      <w:pPr>
        <w:pStyle w:val="FirstParagraph"/>
      </w:pPr>
      <w:r>
        <w:t xml:space="preserve">A good result would combine higher utilization with lower inventory days. Margin gains achieved by building unwanted inventory would be lower quality.</w:t>
      </w:r>
    </w:p>
    <w:p>
      <w:r>
        <w:pict>
          <v:rect style="width:0;height:1.5pt" o:hralign="center" o:hrstd="t" o:hr="t"/>
        </w:pict>
      </w:r>
    </w:p>
    <w:bookmarkEnd w:id="16"/>
    <w:bookmarkEnd w:id="17"/>
    <w:bookmarkStart w:id="18" w:name="X3266a8671b77936ef275e2ca960340ef1907e28"/>
    <w:p>
      <w:pPr>
        <w:pStyle w:val="Heading2"/>
      </w:pPr>
      <w:r>
        <w:t xml:space="preserve">3. Inventory normalization must turn into sustainable sell-through</w:t>
      </w:r>
    </w:p>
    <w:p>
      <w:pPr>
        <w:pStyle w:val="FirstParagraph"/>
      </w:pPr>
      <w:r>
        <w:t xml:space="preserve">At March 31:</w:t>
      </w:r>
    </w:p>
    <w:p>
      <w:pPr>
        <w:pStyle w:val="Compact"/>
        <w:numPr>
          <w:ilvl w:val="0"/>
          <w:numId w:val="1006"/>
        </w:numPr>
      </w:pPr>
      <w:r>
        <w:t xml:space="preserve">Company inventory was approximately</w:t>
      </w:r>
      <w:r>
        <w:t xml:space="preserve"> </w:t>
      </w:r>
      <w:r>
        <w:rPr>
          <w:b/>
          <w:bCs/>
        </w:rPr>
        <w:t xml:space="preserve">$1.04 billion</w:t>
      </w:r>
      <w:r>
        <w:t xml:space="preserve">.</w:t>
      </w:r>
    </w:p>
    <w:p>
      <w:pPr>
        <w:pStyle w:val="Compact"/>
        <w:numPr>
          <w:ilvl w:val="0"/>
          <w:numId w:val="1006"/>
        </w:numPr>
      </w:pPr>
      <w:r>
        <w:t xml:space="preserve">Inventory days stood at</w:t>
      </w:r>
      <w:r>
        <w:t xml:space="preserve"> </w:t>
      </w:r>
      <w:r>
        <w:rPr>
          <w:b/>
          <w:bCs/>
        </w:rPr>
        <w:t xml:space="preserve">185</w:t>
      </w:r>
      <w:r>
        <w:t xml:space="preserve">, down from 201 in December and 266 at the December 2024 peak.</w:t>
      </w:r>
    </w:p>
    <w:p>
      <w:pPr>
        <w:pStyle w:val="Compact"/>
        <w:numPr>
          <w:ilvl w:val="0"/>
          <w:numId w:val="1006"/>
        </w:numPr>
      </w:pPr>
      <w:r>
        <w:t xml:space="preserve">Distributor inventory was only</w:t>
      </w:r>
      <w:r>
        <w:t xml:space="preserve"> </w:t>
      </w:r>
      <w:r>
        <w:rPr>
          <w:b/>
          <w:bCs/>
        </w:rPr>
        <w:t xml:space="preserve">26 days</w:t>
      </w:r>
      <w:r>
        <w:t xml:space="preserve">, near the low end of the historical range.</w:t>
      </w:r>
    </w:p>
    <w:p>
      <w:pPr>
        <w:pStyle w:val="FirstParagraph"/>
      </w:pPr>
      <w:r>
        <w:t xml:space="preserve">Management's long-term company inventory objective is</w:t>
      </w:r>
      <w:r>
        <w:t xml:space="preserve"> </w:t>
      </w:r>
      <w:r>
        <w:rPr>
          <w:b/>
          <w:bCs/>
        </w:rPr>
        <w:t xml:space="preserve">130–150 days</w:t>
      </w:r>
      <w:r>
        <w:t xml:space="preserve">. Revenue growth should mechanically reduce days, but investors should also examine the inventory dollar balance. If days fall only because the denominator is rising while inventory dollars increase materially, the working-capital improvement will be less compelling.</w:t>
      </w:r>
    </w:p>
    <w:p>
      <w:pPr>
        <w:pStyle w:val="BodyText"/>
      </w:pPr>
      <w:r>
        <w:t xml:space="preserve">Important disclosures would include:</w:t>
      </w:r>
    </w:p>
    <w:p>
      <w:pPr>
        <w:pStyle w:val="Compact"/>
        <w:numPr>
          <w:ilvl w:val="0"/>
          <w:numId w:val="1007"/>
        </w:numPr>
      </w:pPr>
      <w:r>
        <w:t xml:space="preserve">Distributor sell-through growth.</w:t>
      </w:r>
    </w:p>
    <w:p>
      <w:pPr>
        <w:pStyle w:val="Compact"/>
        <w:numPr>
          <w:ilvl w:val="0"/>
          <w:numId w:val="1007"/>
        </w:numPr>
      </w:pPr>
      <w:r>
        <w:t xml:space="preserve">Distributor sell-in versus sell-through.</w:t>
      </w:r>
    </w:p>
    <w:p>
      <w:pPr>
        <w:pStyle w:val="Compact"/>
        <w:numPr>
          <w:ilvl w:val="0"/>
          <w:numId w:val="1007"/>
        </w:numPr>
      </w:pPr>
      <w:r>
        <w:t xml:space="preserve">Channel inventory days.</w:t>
      </w:r>
    </w:p>
    <w:p>
      <w:pPr>
        <w:pStyle w:val="Compact"/>
        <w:numPr>
          <w:ilvl w:val="0"/>
          <w:numId w:val="1007"/>
        </w:numPr>
      </w:pPr>
      <w:r>
        <w:t xml:space="preserve">Customer count and order frequency.</w:t>
      </w:r>
    </w:p>
    <w:p>
      <w:pPr>
        <w:pStyle w:val="Compact"/>
        <w:numPr>
          <w:ilvl w:val="0"/>
          <w:numId w:val="1007"/>
        </w:numPr>
      </w:pPr>
      <w:r>
        <w:t xml:space="preserve">Book-to-bill and backlog.</w:t>
      </w:r>
    </w:p>
    <w:p>
      <w:pPr>
        <w:pStyle w:val="Compact"/>
        <w:numPr>
          <w:ilvl w:val="0"/>
          <w:numId w:val="1007"/>
        </w:numPr>
      </w:pPr>
      <w:r>
        <w:t xml:space="preserve">Cancellation and rescheduling activity.</w:t>
      </w:r>
    </w:p>
    <w:p>
      <w:pPr>
        <w:pStyle w:val="Compact"/>
        <w:numPr>
          <w:ilvl w:val="0"/>
          <w:numId w:val="1007"/>
        </w:numPr>
      </w:pPr>
      <w:r>
        <w:t xml:space="preserve">Expedite requests and lead times.</w:t>
      </w:r>
    </w:p>
    <w:p>
      <w:pPr>
        <w:pStyle w:val="FirstParagraph"/>
      </w:pPr>
      <w:r>
        <w:t xml:space="preserve">The best outcome is a balanced one: channel inventory rises modestly from unusually lean levels while sell-through and end-customer demand remain healthy.</w:t>
      </w:r>
    </w:p>
    <w:p>
      <w:r>
        <w:pict>
          <v:rect style="width:0;height:1.5pt" o:hralign="center" o:hrstd="t" o:hr="t"/>
        </w:pict>
      </w:r>
    </w:p>
    <w:bookmarkEnd w:id="18"/>
    <w:bookmarkStart w:id="20" w:name="Xf98515e8314b2f9f36f03e04c89190cb24a82fb"/>
    <w:p>
      <w:pPr>
        <w:pStyle w:val="Heading2"/>
      </w:pPr>
      <w:r>
        <w:t xml:space="preserve">4. Data center is becoming financially meaningful</w:t>
      </w:r>
    </w:p>
    <w:p>
      <w:pPr>
        <w:pStyle w:val="FirstParagraph"/>
      </w:pPr>
      <w:r>
        <w:t xml:space="preserve">MCHP provided unusually specific data-center disclosure in June:</w:t>
      </w:r>
    </w:p>
    <w:p>
      <w:pPr>
        <w:pStyle w:val="Compact"/>
        <w:numPr>
          <w:ilvl w:val="0"/>
          <w:numId w:val="1008"/>
        </w:numPr>
      </w:pPr>
      <w:r>
        <w:t xml:space="preserve">The dedicated</w:t>
      </w:r>
      <w:r>
        <w:t xml:space="preserve"> </w:t>
      </w:r>
      <w:r>
        <w:rPr>
          <w:b/>
          <w:bCs/>
        </w:rPr>
        <w:t xml:space="preserve">Data Center Solutions</w:t>
      </w:r>
      <w:r>
        <w:t xml:space="preserve"> </w:t>
      </w:r>
      <w:r>
        <w:t xml:space="preserve">business generated $302.7 million in calendar 2025.</w:t>
      </w:r>
    </w:p>
    <w:p>
      <w:pPr>
        <w:pStyle w:val="Compact"/>
        <w:numPr>
          <w:ilvl w:val="0"/>
          <w:numId w:val="1008"/>
        </w:numPr>
      </w:pPr>
      <w:r>
        <w:t xml:space="preserve">Management expects approximately</w:t>
      </w:r>
      <w:r>
        <w:t xml:space="preserve"> </w:t>
      </w:r>
      <w:r>
        <w:rPr>
          <w:b/>
          <w:bCs/>
        </w:rPr>
        <w:t xml:space="preserve">$500 million in calendar 2026</w:t>
      </w:r>
      <w:r>
        <w:t xml:space="preserve">, or roughly 65% growth.</w:t>
      </w:r>
    </w:p>
    <w:p>
      <w:pPr>
        <w:pStyle w:val="Compact"/>
        <w:numPr>
          <w:ilvl w:val="0"/>
          <w:numId w:val="1008"/>
        </w:numPr>
      </w:pPr>
      <w:r>
        <w:t xml:space="preserve">The broader Data Center and Compute end market represented approximately 18% of company revenue.</w:t>
      </w:r>
    </w:p>
    <w:p>
      <w:pPr>
        <w:pStyle w:val="Compact"/>
        <w:numPr>
          <w:ilvl w:val="0"/>
          <w:numId w:val="1008"/>
        </w:numPr>
      </w:pPr>
      <w:r>
        <w:t xml:space="preserve">The dedicated portfolio includes storage controllers, PCIe/CXL memory controllers, PCIe switches and retimers. (</w:t>
      </w:r>
      <w:hyperlink r:id="rId19">
        <w:r>
          <w:rPr>
            <w:rStyle w:val="Hyperlink"/>
          </w:rPr>
          <w:t xml:space="preserve">ir.microchip.com</w:t>
        </w:r>
      </w:hyperlink>
      <w:r>
        <w:t xml:space="preserve">)</w:t>
      </w:r>
    </w:p>
    <w:p>
      <w:pPr>
        <w:pStyle w:val="FirstParagraph"/>
      </w:pPr>
      <w:r>
        <w:t xml:space="preserve">This makes data center one of the most important proof points on the call. Investors should look for:</w:t>
      </w:r>
    </w:p>
    <w:p>
      <w:pPr>
        <w:pStyle w:val="Compact"/>
        <w:numPr>
          <w:ilvl w:val="0"/>
          <w:numId w:val="1009"/>
        </w:numPr>
      </w:pPr>
      <w:r>
        <w:t xml:space="preserve">Progress toward the $500 million calendar-year target.</w:t>
      </w:r>
    </w:p>
    <w:p>
      <w:pPr>
        <w:pStyle w:val="Compact"/>
        <w:numPr>
          <w:ilvl w:val="0"/>
          <w:numId w:val="1009"/>
        </w:numPr>
      </w:pPr>
      <w:r>
        <w:t xml:space="preserve">PCIe Gen 6 switch production ramps.</w:t>
      </w:r>
    </w:p>
    <w:p>
      <w:pPr>
        <w:pStyle w:val="Compact"/>
        <w:numPr>
          <w:ilvl w:val="0"/>
          <w:numId w:val="1009"/>
        </w:numPr>
      </w:pPr>
      <w:r>
        <w:t xml:space="preserve">Additional switch and retimer design wins.</w:t>
      </w:r>
    </w:p>
    <w:p>
      <w:pPr>
        <w:pStyle w:val="Compact"/>
        <w:numPr>
          <w:ilvl w:val="0"/>
          <w:numId w:val="1009"/>
        </w:numPr>
      </w:pPr>
      <w:r>
        <w:t xml:space="preserve">Substrate availability and whether constraints are delaying shipments.</w:t>
      </w:r>
    </w:p>
    <w:p>
      <w:pPr>
        <w:pStyle w:val="Compact"/>
        <w:numPr>
          <w:ilvl w:val="0"/>
          <w:numId w:val="1009"/>
        </w:numPr>
      </w:pPr>
      <w:r>
        <w:t xml:space="preserve">CXL and memory-controller adoption.</w:t>
      </w:r>
    </w:p>
    <w:p>
      <w:pPr>
        <w:pStyle w:val="Compact"/>
        <w:numPr>
          <w:ilvl w:val="0"/>
          <w:numId w:val="1009"/>
        </w:numPr>
      </w:pPr>
      <w:r>
        <w:t xml:space="preserve">Growth in power-management, timing, Ethernet and security content.</w:t>
      </w:r>
    </w:p>
    <w:p>
      <w:pPr>
        <w:pStyle w:val="Compact"/>
        <w:numPr>
          <w:ilvl w:val="0"/>
          <w:numId w:val="1009"/>
        </w:numPr>
      </w:pPr>
      <w:r>
        <w:t xml:space="preserve">Whether the business is gaining share or simply benefiting from market growth.</w:t>
      </w:r>
    </w:p>
    <w:p>
      <w:pPr>
        <w:pStyle w:val="FirstParagraph"/>
      </w:pPr>
      <w:r>
        <w:t xml:space="preserve">The dedicated data-center business is growing quickly enough to influence consolidated growth, but it remains only one part of MCHP. Industrial and automotive stabilization are still necessary for a durable company-wide recovery.</w:t>
      </w:r>
    </w:p>
    <w:p>
      <w:r>
        <w:pict>
          <v:rect style="width:0;height:1.5pt" o:hralign="center" o:hrstd="t" o:hr="t"/>
        </w:pict>
      </w:r>
    </w:p>
    <w:bookmarkEnd w:id="20"/>
    <w:bookmarkStart w:id="21" w:name="X4cd397fd3da71f365b8b6eac6ec22fc0934c940"/>
    <w:p>
      <w:pPr>
        <w:pStyle w:val="Heading2"/>
      </w:pPr>
      <w:r>
        <w:t xml:space="preserve">5. Selective price increases add an important new variable</w:t>
      </w:r>
    </w:p>
    <w:p>
      <w:pPr>
        <w:pStyle w:val="FirstParagraph"/>
      </w:pPr>
      <w:r>
        <w:t xml:space="preserve">On June 1, Microchip announced selective price increases in response to broad-based supplier and internal cost inflation. The company explicitly said the changes would have</w:t>
      </w:r>
      <w:r>
        <w:t xml:space="preserve"> </w:t>
      </w:r>
      <w:r>
        <w:rPr>
          <w:b/>
          <w:bCs/>
        </w:rPr>
        <w:t xml:space="preserve">no impact on the June-quarter results or guidance</w:t>
      </w:r>
      <w:r>
        <w:t xml:space="preserve">. (</w:t>
      </w:r>
      <w:hyperlink r:id="rId19">
        <w:r>
          <w:rPr>
            <w:rStyle w:val="Hyperlink"/>
          </w:rPr>
          <w:t xml:space="preserve">ir.microchip.com</w:t>
        </w:r>
      </w:hyperlink>
      <w:r>
        <w:t xml:space="preserve">)</w:t>
      </w:r>
    </w:p>
    <w:p>
      <w:pPr>
        <w:pStyle w:val="BodyText"/>
      </w:pPr>
      <w:r>
        <w:t xml:space="preserve">That means the reported quarter should provide a relatively clean read on volume, mix and utilization. The September outlook may begin to include price benefits.</w:t>
      </w:r>
    </w:p>
    <w:p>
      <w:pPr>
        <w:pStyle w:val="BodyText"/>
      </w:pPr>
      <w:r>
        <w:t xml:space="preserve">Investors should ask:</w:t>
      </w:r>
    </w:p>
    <w:p>
      <w:pPr>
        <w:pStyle w:val="Compact"/>
        <w:numPr>
          <w:ilvl w:val="0"/>
          <w:numId w:val="1010"/>
        </w:numPr>
      </w:pPr>
      <w:r>
        <w:t xml:space="preserve">What percentage of the portfolio is affected?</w:t>
      </w:r>
    </w:p>
    <w:p>
      <w:pPr>
        <w:pStyle w:val="Compact"/>
        <w:numPr>
          <w:ilvl w:val="0"/>
          <w:numId w:val="1010"/>
        </w:numPr>
      </w:pPr>
      <w:r>
        <w:t xml:space="preserve">When will increases become effective?</w:t>
      </w:r>
    </w:p>
    <w:p>
      <w:pPr>
        <w:pStyle w:val="Compact"/>
        <w:numPr>
          <w:ilvl w:val="0"/>
          <w:numId w:val="1010"/>
        </w:numPr>
      </w:pPr>
      <w:r>
        <w:t xml:space="preserve">How much is price versus unit growth in the September outlook?</w:t>
      </w:r>
    </w:p>
    <w:p>
      <w:pPr>
        <w:pStyle w:val="Compact"/>
        <w:numPr>
          <w:ilvl w:val="0"/>
          <w:numId w:val="1010"/>
        </w:numPr>
      </w:pPr>
      <w:r>
        <w:t xml:space="preserve">Will pricing merely offset higher input costs or expand gross margin?</w:t>
      </w:r>
    </w:p>
    <w:p>
      <w:pPr>
        <w:pStyle w:val="Compact"/>
        <w:numPr>
          <w:ilvl w:val="0"/>
          <w:numId w:val="1010"/>
        </w:numPr>
      </w:pPr>
      <w:r>
        <w:t xml:space="preserve">Has customer response affected orders or design-win activity?</w:t>
      </w:r>
    </w:p>
    <w:p>
      <w:pPr>
        <w:pStyle w:val="FirstParagraph"/>
      </w:pPr>
      <w:r>
        <w:t xml:space="preserve">Given MCHP's efforts to repair customer relationships after the pandemic shortage period, execution matters. Targeted, transparent pricing would be preferable to a broad increase that risks renewed customer friction.</w:t>
      </w:r>
    </w:p>
    <w:p>
      <w:r>
        <w:pict>
          <v:rect style="width:0;height:1.5pt" o:hralign="center" o:hrstd="t" o:hr="t"/>
        </w:pict>
      </w:r>
    </w:p>
    <w:bookmarkEnd w:id="21"/>
    <w:bookmarkStart w:id="22" w:name="X6475aadb9cc7e10001c715e9d1ea3ea92d6b069"/>
    <w:p>
      <w:pPr>
        <w:pStyle w:val="Heading2"/>
      </w:pPr>
      <w:r>
        <w:t xml:space="preserve">6. Cash flow and debt reduction need to catch up with earnings</w:t>
      </w:r>
    </w:p>
    <w:p>
      <w:pPr>
        <w:pStyle w:val="FirstParagraph"/>
      </w:pPr>
      <w:r>
        <w:t xml:space="preserve">MCHP ended March with approximately</w:t>
      </w:r>
      <w:r>
        <w:t xml:space="preserve"> </w:t>
      </w:r>
      <w:r>
        <w:rPr>
          <w:b/>
          <w:bCs/>
        </w:rPr>
        <w:t xml:space="preserve">$5.5 billion of long-term debt</w:t>
      </w:r>
      <w:r>
        <w:t xml:space="preserve"> </w:t>
      </w:r>
      <w:r>
        <w:t xml:space="preserve">and a net-debt-to-adjusted-EBITDA ratio of 3.54. Management expected strong June-quarter cash generation and forecast that leverage would fall below 3.0.</w:t>
      </w:r>
    </w:p>
    <w:p>
      <w:pPr>
        <w:pStyle w:val="BodyText"/>
      </w:pPr>
      <w:r>
        <w:t xml:space="preserve">That target should be tested carefully. Leverage can decline because EBITDA rises even if absolute debt reduction is limited.</w:t>
      </w:r>
    </w:p>
    <w:p>
      <w:pPr>
        <w:pStyle w:val="BodyText"/>
      </w:pPr>
      <w:r>
        <w:t xml:space="preserve">For fiscal 2026:</w:t>
      </w:r>
    </w:p>
    <w:p>
      <w:pPr>
        <w:pStyle w:val="Compact"/>
        <w:numPr>
          <w:ilvl w:val="0"/>
          <w:numId w:val="1011"/>
        </w:numPr>
      </w:pPr>
      <w:r>
        <w:t xml:space="preserve">Free cash flow was approximately</w:t>
      </w:r>
      <w:r>
        <w:t xml:space="preserve"> </w:t>
      </w:r>
      <w:r>
        <w:rPr>
          <w:b/>
          <w:bCs/>
        </w:rPr>
        <w:t xml:space="preserve">$871 million</w:t>
      </w:r>
      <w:r>
        <w:t xml:space="preserve">.</w:t>
      </w:r>
    </w:p>
    <w:p>
      <w:pPr>
        <w:pStyle w:val="Compact"/>
        <w:numPr>
          <w:ilvl w:val="0"/>
          <w:numId w:val="1011"/>
        </w:numPr>
      </w:pPr>
      <w:r>
        <w:t xml:space="preserve">Dividends totaled approximately</w:t>
      </w:r>
      <w:r>
        <w:t xml:space="preserve"> </w:t>
      </w:r>
      <w:r>
        <w:rPr>
          <w:b/>
          <w:bCs/>
        </w:rPr>
        <w:t xml:space="preserve">$984 million</w:t>
      </w:r>
      <w:r>
        <w:t xml:space="preserve">.</w:t>
      </w:r>
    </w:p>
    <w:p>
      <w:pPr>
        <w:pStyle w:val="FirstParagraph"/>
      </w:pPr>
      <w:r>
        <w:t xml:space="preserve">Consequently, the dividend consumed more than full-year free cash flow. The payout becomes easier to fund as earnings recover, but the balance-sheet thesis requires stronger cash generation and visible debt repayment.</w:t>
      </w:r>
    </w:p>
    <w:p>
      <w:pPr>
        <w:pStyle w:val="BodyText"/>
      </w:pPr>
      <w:r>
        <w:t xml:space="preserve">Investors should prioritize:</w:t>
      </w:r>
    </w:p>
    <w:p>
      <w:pPr>
        <w:pStyle w:val="Compact"/>
        <w:numPr>
          <w:ilvl w:val="0"/>
          <w:numId w:val="1012"/>
        </w:numPr>
      </w:pPr>
      <w:r>
        <w:t xml:space="preserve">Absolute debt balance and net debt.</w:t>
      </w:r>
    </w:p>
    <w:p>
      <w:pPr>
        <w:pStyle w:val="Compact"/>
        <w:numPr>
          <w:ilvl w:val="0"/>
          <w:numId w:val="1012"/>
        </w:numPr>
      </w:pPr>
      <w:r>
        <w:t xml:space="preserve">Operating and free cash flow.</w:t>
      </w:r>
    </w:p>
    <w:p>
      <w:pPr>
        <w:pStyle w:val="Compact"/>
        <w:numPr>
          <w:ilvl w:val="0"/>
          <w:numId w:val="1012"/>
        </w:numPr>
      </w:pPr>
      <w:r>
        <w:t xml:space="preserve">Working-capital contribution.</w:t>
      </w:r>
    </w:p>
    <w:p>
      <w:pPr>
        <w:pStyle w:val="Compact"/>
        <w:numPr>
          <w:ilvl w:val="0"/>
          <w:numId w:val="1012"/>
        </w:numPr>
      </w:pPr>
      <w:r>
        <w:t xml:space="preserve">Cash interest expense.</w:t>
      </w:r>
    </w:p>
    <w:p>
      <w:pPr>
        <w:pStyle w:val="Compact"/>
        <w:numPr>
          <w:ilvl w:val="0"/>
          <w:numId w:val="1012"/>
        </w:numPr>
      </w:pPr>
      <w:r>
        <w:t xml:space="preserve">Net leverage.</w:t>
      </w:r>
    </w:p>
    <w:p>
      <w:pPr>
        <w:pStyle w:val="Compact"/>
        <w:numPr>
          <w:ilvl w:val="0"/>
          <w:numId w:val="1012"/>
        </w:numPr>
      </w:pPr>
      <w:r>
        <w:t xml:space="preserve">Capital-allocation priorities following the Hailo transaction.</w:t>
      </w:r>
    </w:p>
    <w:p>
      <w:pPr>
        <w:pStyle w:val="Compact"/>
        <w:numPr>
          <w:ilvl w:val="0"/>
          <w:numId w:val="1012"/>
        </w:numPr>
      </w:pPr>
      <w:r>
        <w:t xml:space="preserve">Any update on the potential sale of the Tempe fab.</w:t>
      </w:r>
    </w:p>
    <w:p>
      <w:r>
        <w:pict>
          <v:rect style="width:0;height:1.5pt" o:hralign="center" o:hrstd="t" o:hr="t"/>
        </w:pict>
      </w:r>
    </w:p>
    <w:bookmarkEnd w:id="22"/>
    <w:bookmarkStart w:id="27" w:name="X93d05eca16591360bff8b05b6740b49b19f9e81"/>
    <w:p>
      <w:pPr>
        <w:pStyle w:val="Heading2"/>
      </w:pPr>
      <w:r>
        <w:t xml:space="preserve">7. Two recent corporate developments require explanation</w:t>
      </w:r>
    </w:p>
    <w:bookmarkStart w:id="24" w:name="hailo-acquisition"/>
    <w:p>
      <w:pPr>
        <w:pStyle w:val="Heading3"/>
      </w:pPr>
      <w:r>
        <w:t xml:space="preserve">Hailo acquisition</w:t>
      </w:r>
    </w:p>
    <w:p>
      <w:pPr>
        <w:pStyle w:val="FirstParagraph"/>
      </w:pPr>
      <w:r>
        <w:t xml:space="preserve">On July 24, MCHP agreed to acquire edge-AI processor company Hailo. Terms were not disclosed, the transaction is expected to close toward the end of the September quarter, and MCHP said it should not materially affect financial results. Hailo brings more than 100 current customers, over 10,000 developer-community users and products spanning AI accelerators and vision processors. (</w:t>
      </w:r>
      <w:hyperlink r:id="rId23">
        <w:r>
          <w:rPr>
            <w:rStyle w:val="Hyperlink"/>
          </w:rPr>
          <w:t xml:space="preserve">ir.microchip.com</w:t>
        </w:r>
      </w:hyperlink>
      <w:r>
        <w:t xml:space="preserve">)</w:t>
      </w:r>
    </w:p>
    <w:p>
      <w:pPr>
        <w:pStyle w:val="BodyText"/>
      </w:pPr>
      <w:r>
        <w:t xml:space="preserve">Strategically, Hailo fits MCHP's push into edge AI and complements its MCU, FPGA, connectivity, security, analog and power portfolio. Investors should nevertheless seek detail on:</w:t>
      </w:r>
    </w:p>
    <w:p>
      <w:pPr>
        <w:pStyle w:val="Compact"/>
        <w:numPr>
          <w:ilvl w:val="0"/>
          <w:numId w:val="1013"/>
        </w:numPr>
      </w:pPr>
      <w:r>
        <w:t xml:space="preserve">Purchase price and funding.</w:t>
      </w:r>
    </w:p>
    <w:p>
      <w:pPr>
        <w:pStyle w:val="Compact"/>
        <w:numPr>
          <w:ilvl w:val="0"/>
          <w:numId w:val="1013"/>
        </w:numPr>
      </w:pPr>
      <w:r>
        <w:t xml:space="preserve">Hailo's current revenue and cash-burn profile.</w:t>
      </w:r>
    </w:p>
    <w:p>
      <w:pPr>
        <w:pStyle w:val="Compact"/>
        <w:numPr>
          <w:ilvl w:val="0"/>
          <w:numId w:val="1013"/>
        </w:numPr>
      </w:pPr>
      <w:r>
        <w:t xml:space="preserve">Retention arrangements.</w:t>
      </w:r>
    </w:p>
    <w:p>
      <w:pPr>
        <w:pStyle w:val="Compact"/>
        <w:numPr>
          <w:ilvl w:val="0"/>
          <w:numId w:val="1013"/>
        </w:numPr>
      </w:pPr>
      <w:r>
        <w:t xml:space="preserve">Integration costs.</w:t>
      </w:r>
    </w:p>
    <w:p>
      <w:pPr>
        <w:pStyle w:val="Compact"/>
        <w:numPr>
          <w:ilvl w:val="0"/>
          <w:numId w:val="1013"/>
        </w:numPr>
      </w:pPr>
      <w:r>
        <w:t xml:space="preserve">Cross-selling opportunities.</w:t>
      </w:r>
    </w:p>
    <w:p>
      <w:pPr>
        <w:pStyle w:val="Compact"/>
        <w:numPr>
          <w:ilvl w:val="0"/>
          <w:numId w:val="1013"/>
        </w:numPr>
      </w:pPr>
      <w:r>
        <w:t xml:space="preserve">The path to accretion.</w:t>
      </w:r>
    </w:p>
    <w:bookmarkEnd w:id="24"/>
    <w:bookmarkStart w:id="26" w:name="coo-departure"/>
    <w:p>
      <w:pPr>
        <w:pStyle w:val="Heading3"/>
      </w:pPr>
      <w:r>
        <w:t xml:space="preserve">COO departure</w:t>
      </w:r>
    </w:p>
    <w:p>
      <w:pPr>
        <w:pStyle w:val="FirstParagraph"/>
      </w:pPr>
      <w:r>
        <w:t xml:space="preserve">Chief Operating Officer Richard Simoncic resigned effective August 17 to become CEO of Menlo Microsystems. The filing did not identify a successor. (</w:t>
      </w:r>
      <w:hyperlink r:id="rId25">
        <w:r>
          <w:rPr>
            <w:rStyle w:val="Hyperlink"/>
          </w:rPr>
          <w:t xml:space="preserve">ir.microchip.com</w:t>
        </w:r>
      </w:hyperlink>
      <w:r>
        <w:t xml:space="preserve">)</w:t>
      </w:r>
    </w:p>
    <w:p>
      <w:pPr>
        <w:pStyle w:val="BodyText"/>
      </w:pPr>
      <w:r>
        <w:t xml:space="preserve">This deserves attention because Simoncic has been prominent in communicating MCHP's operating recovery, data-center strategy and customer-relations work. Management should clarify who will assume his responsibilities and whether the departure changes the organizational structure.</w:t>
      </w:r>
    </w:p>
    <w:p>
      <w:r>
        <w:pict>
          <v:rect style="width:0;height:1.5pt" o:hralign="center" o:hrstd="t" o:hr="t"/>
        </w:pict>
      </w:r>
    </w:p>
    <w:bookmarkEnd w:id="26"/>
    <w:bookmarkEnd w:id="27"/>
    <w:bookmarkStart w:id="28" w:name="scenario-framework"/>
    <w:p>
      <w:pPr>
        <w:pStyle w:val="Heading2"/>
      </w:pPr>
      <w:r>
        <w:t xml:space="preserve">Scenario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Scenario</w:t>
            </w:r>
          </w:p>
        </w:tc>
        <w:tc>
          <w:tcPr/>
          <w:p>
            <w:pPr>
              <w:pStyle w:val="Compact"/>
            </w:pPr>
            <w:r>
              <w:t xml:space="preserve">What it might look like</w:t>
            </w:r>
          </w:p>
        </w:tc>
      </w:tr>
      <w:tr>
        <w:tc>
          <w:tcPr/>
          <w:p>
            <w:pPr>
              <w:pStyle w:val="Compact"/>
            </w:pPr>
            <w:r>
              <w:rPr>
                <w:b/>
                <w:bCs/>
              </w:rPr>
              <w:t xml:space="preserve">Bull case</w:t>
            </w:r>
          </w:p>
        </w:tc>
        <w:tc>
          <w:tcPr/>
          <w:p>
            <w:pPr>
              <w:pStyle w:val="Compact"/>
            </w:pPr>
            <w:r>
              <w:t xml:space="preserve">June revenue and EPS exceed the top of guidance; September revenue is guided up at least mid-single digits; gross margin continues climbing; inventory days fall materially; net leverage drops below 3; data-center target is reaffirmed or raised.</w:t>
            </w:r>
          </w:p>
        </w:tc>
      </w:tr>
      <w:tr>
        <w:tc>
          <w:tcPr/>
          <w:p>
            <w:pPr>
              <w:pStyle w:val="Compact"/>
            </w:pPr>
            <w:r>
              <w:rPr>
                <w:b/>
                <w:bCs/>
              </w:rPr>
              <w:t xml:space="preserve">Base case</w:t>
            </w:r>
          </w:p>
        </w:tc>
        <w:tc>
          <w:tcPr/>
          <w:p>
            <w:pPr>
              <w:pStyle w:val="Compact"/>
            </w:pPr>
            <w:r>
              <w:t xml:space="preserve">June results land near the upper half of guidance; September shows modest sequential growth; margins improve largely as expected; data-center and A&amp;D remain strong while industrial and automotive recover gradually.</w:t>
            </w:r>
          </w:p>
        </w:tc>
      </w:tr>
      <w:tr>
        <w:tc>
          <w:tcPr/>
          <w:p>
            <w:pPr>
              <w:pStyle w:val="Compact"/>
            </w:pPr>
            <w:r>
              <w:rPr>
                <w:b/>
                <w:bCs/>
              </w:rPr>
              <w:t xml:space="preserve">Bear case</w:t>
            </w:r>
          </w:p>
        </w:tc>
        <w:tc>
          <w:tcPr/>
          <w:p>
            <w:pPr>
              <w:pStyle w:val="Compact"/>
            </w:pPr>
            <w:r>
              <w:t xml:space="preserve">June merely meets guidance and September is flat or down; bookings or sell-through soften; channel restocking accounts for too much of recent growth; supply constraints cap shipments; margin improvement stalls; debt reduction disappoints.</w:t>
            </w:r>
          </w:p>
        </w:tc>
      </w:tr>
    </w:tbl>
    <w:bookmarkEnd w:id="28"/>
    <w:bookmarkStart w:id="29" w:name="bottom-line"/>
    <w:p>
      <w:pPr>
        <w:pStyle w:val="Heading2"/>
      </w:pPr>
      <w:r>
        <w:t xml:space="preserve">Bottom line</w:t>
      </w:r>
    </w:p>
    <w:p>
      <w:pPr>
        <w:pStyle w:val="FirstParagraph"/>
      </w:pPr>
      <w:r>
        <w:t xml:space="preserve">MCHP appears to be in the strongest phase of its recovery, with revenue, margins and bookings all moving in the right direction. The stock's decline since the prior report has reduced the valuation and sentiment hurdle, but a routine beat against guidance that already matches consensus may not be sufficient.</w:t>
      </w:r>
    </w:p>
    <w:p>
      <w:pPr>
        <w:pStyle w:val="BodyText"/>
      </w:pPr>
      <w:r>
        <w:t xml:space="preserve">The most important signal will be whether management can guide to</w:t>
      </w:r>
      <w:r>
        <w:t xml:space="preserve"> </w:t>
      </w:r>
      <w:r>
        <w:rPr>
          <w:b/>
          <w:bCs/>
        </w:rPr>
        <w:t xml:space="preserve">another quarter of sequential growth while simultaneously reducing inventory, expanding margins and paying down debt</w:t>
      </w:r>
      <w:r>
        <w:t xml:space="preserve">. If it can, the recovery thesis gains considerable credibility. If September growth fades or cash conversion disappoints, investors may conclude that much of the recent strength came from inventory normalization rather than a sustained improvement in underlying demand.</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ir.microchip.com/news-events/press-releases/detail/1395/microchip-provides-data-center-solutions-business-unit-revenue-information?utm_source=openai" TargetMode="External" /><Relationship Type="http://schemas.openxmlformats.org/officeDocument/2006/relationships/hyperlink" Id="rId23" Target="https://ir.microchip.com/news-events/press-releases/detail/1406/microchip-technology-signs-definitive-agreement-to-acquire-hailo?utm_source=openai" TargetMode="External" /><Relationship Type="http://schemas.openxmlformats.org/officeDocument/2006/relationships/hyperlink" Id="rId11" Target="https://ir.microchip.com/sec-filings/all-sec-filings/content/0000827054-26-000012/exhibit991q4fy26.htm?utm_source=openai" TargetMode="External" /><Relationship Type="http://schemas.openxmlformats.org/officeDocument/2006/relationships/hyperlink" Id="rId25" Target="https://ir.microchip.com/sec-filings/all-sec-filings/content/0000827054-26-000031/mchp-20260723.htm?utm_source=openai" TargetMode="External" /><Relationship Type="http://schemas.openxmlformats.org/officeDocument/2006/relationships/hyperlink" Id="rId9" Target="https://www.marketbeat.com/earnings/reports/2026-8-6-microchip-technology-incorporated-stock/?utm_source=openai" TargetMode="External" /></Relationships>
</file>

<file path=word/_rels/footnotes.xml.rels><?xml version="1.0" encoding="UTF-8"?><Relationships xmlns="http://schemas.openxmlformats.org/package/2006/relationships"><Relationship Type="http://schemas.openxmlformats.org/officeDocument/2006/relationships/hyperlink" Id="rId19" Target="https://ir.microchip.com/news-events/press-releases/detail/1395/microchip-provides-data-center-solutions-business-unit-revenue-information?utm_source=openai" TargetMode="External" /><Relationship Type="http://schemas.openxmlformats.org/officeDocument/2006/relationships/hyperlink" Id="rId23" Target="https://ir.microchip.com/news-events/press-releases/detail/1406/microchip-technology-signs-definitive-agreement-to-acquire-hailo?utm_source=openai" TargetMode="External" /><Relationship Type="http://schemas.openxmlformats.org/officeDocument/2006/relationships/hyperlink" Id="rId11" Target="https://ir.microchip.com/sec-filings/all-sec-filings/content/0000827054-26-000012/exhibit991q4fy26.htm?utm_source=openai" TargetMode="External" /><Relationship Type="http://schemas.openxmlformats.org/officeDocument/2006/relationships/hyperlink" Id="rId25" Target="https://ir.microchip.com/sec-filings/all-sec-filings/content/0000827054-26-000031/mchp-20260723.htm?utm_source=openai" TargetMode="External" /><Relationship Type="http://schemas.openxmlformats.org/officeDocument/2006/relationships/hyperlink" Id="rId9" Target="https://www.marketbeat.com/earnings/reports/2026-8-6-microchip-technology-incorporated-stock/?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2026-08-06T01:05:23Z</dcterms:created>
  <dcterms:modified xsi:type="dcterms:W3CDTF">2026-08-06T01:05:23Z</dcterms:modified>
</cp:coreProperties>
</file>

<file path=docProps/custom.xml><?xml version="1.0" encoding="utf-8"?>
<Properties xmlns="http://schemas.openxmlformats.org/officeDocument/2006/custom-properties" xmlns:vt="http://schemas.openxmlformats.org/officeDocument/2006/docPropsVTypes"/>
</file>