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23f3b25d52ef8873e227d98ea3942f5f6ea0dca"/>
    <w:p>
      <w:pPr>
        <w:pStyle w:val="Heading1"/>
      </w:pPr>
      <w:r>
        <w:t xml:space="preserve">Microchip Technology (NASDAQ: MCHP) — FY2027 Q1 Earnings Preview</w:t>
      </w:r>
    </w:p>
    <w:p>
      <w:pPr>
        <w:pStyle w:val="BlockText"/>
      </w:pPr>
      <w:r>
        <w:rPr>
          <w:b/>
          <w:bCs/>
        </w:rPr>
        <w:t xml:space="preserve">Timing note:</w:t>
      </w:r>
      <w:r>
        <w:t xml:space="preserve"> </w:t>
      </w:r>
      <w:r>
        <w:t xml:space="preserve">The stated event date is</w:t>
      </w:r>
      <w:r>
        <w:t xml:space="preserve"> </w:t>
      </w:r>
      <w:r>
        <w:rPr>
          <w:b/>
          <w:bCs/>
        </w:rPr>
        <w:t xml:space="preserve">Thursday, August 6, 2026</w:t>
      </w:r>
      <w:r>
        <w:t xml:space="preserve">—which is</w:t>
      </w:r>
      <w:r>
        <w:t xml:space="preserve"> </w:t>
      </w:r>
      <w:r>
        <w:rPr>
          <w:b/>
          <w:bCs/>
        </w:rPr>
        <w:t xml:space="preserve">today</w:t>
      </w:r>
      <w:r>
        <w:t xml:space="preserve">, not tomorrow. This preview is for Microchip’s</w:t>
      </w:r>
      <w:r>
        <w:t xml:space="preserve"> </w:t>
      </w:r>
      <w:r>
        <w:rPr>
          <w:b/>
          <w:bCs/>
        </w:rPr>
        <w:t xml:space="preserve">fiscal Q1 2027</w:t>
      </w:r>
      <w:r>
        <w:t xml:space="preserve"> </w:t>
      </w:r>
      <w:r>
        <w:t xml:space="preserve">report (quarter ended June 30, 2026).</w:t>
      </w:r>
    </w:p>
    <w:bookmarkStart w:id="9" w:name="bottom-line"/>
    <w:p>
      <w:pPr>
        <w:pStyle w:val="Heading2"/>
      </w:pPr>
      <w:r>
        <w:t xml:space="preserve">Bottom line</w:t>
      </w:r>
    </w:p>
    <w:p>
      <w:pPr>
        <w:pStyle w:val="FirstParagraph"/>
      </w:pPr>
      <w:r>
        <w:t xml:space="preserve">Microchip enters earnings with</w:t>
      </w:r>
      <w:r>
        <w:t xml:space="preserve"> </w:t>
      </w:r>
      <w:r>
        <w:rPr>
          <w:b/>
          <w:bCs/>
        </w:rPr>
        <w:t xml:space="preserve">clear operational momentum</w:t>
      </w:r>
      <w:r>
        <w:t xml:space="preserve">: the company guided to another ~11% sequential revenue increase, further gross-margin recovery, and substantial operating leverage as distributor and customer inventory correction gives way to restocking and improving end demand. The primary issue is likely not whether the company reports a solid June quarter—its own guide already implies that—but whether management can substantiate a</w:t>
      </w:r>
      <w:r>
        <w:t xml:space="preserve"> </w:t>
      </w:r>
      <w:r>
        <w:rPr>
          <w:b/>
          <w:bCs/>
        </w:rPr>
        <w:t xml:space="preserve">similarly strong September-quarter trajectory</w:t>
      </w:r>
      <w:r>
        <w:t xml:space="preserve"> </w:t>
      </w:r>
      <w:r>
        <w:t xml:space="preserve">while showing that inventory, factory utilization, and debt reduction are all moving in the right direction.</w:t>
      </w:r>
    </w:p>
    <w:p>
      <w:pPr>
        <w:pStyle w:val="BodyText"/>
      </w:pPr>
      <w:r>
        <w:t xml:space="preserve">The stock has also entered the report with a less demanding near-term setup, closing at</w:t>
      </w:r>
      <w:r>
        <w:t xml:space="preserve"> </w:t>
      </w:r>
      <w:r>
        <w:rPr>
          <w:b/>
          <w:bCs/>
        </w:rPr>
        <w:t xml:space="preserve">$77.81 on August 5</w:t>
      </w:r>
      <w:r>
        <w:t xml:space="preserve">, down roughly</w:t>
      </w:r>
      <w:r>
        <w:t xml:space="preserve"> </w:t>
      </w:r>
      <w:r>
        <w:rPr>
          <w:b/>
          <w:bCs/>
        </w:rPr>
        <w:t xml:space="preserve">12% from $88.69 on July 1</w:t>
      </w:r>
      <w:r>
        <w:t xml:space="preserve">. That makes an in-line print with confident forward commentary potentially more constructive than it would have been a month ago. Still, expectations around the semiconductor-cycle recovery, margin normalization, and data-center exposure remain elevated.</w:t>
      </w:r>
    </w:p>
    <w:bookmarkEnd w:id="9"/>
    <w:bookmarkStart w:id="10" w:name="X4e1db867ee6635db32fcf9b06563b6bc882b1f1"/>
    <w:p>
      <w:pPr>
        <w:pStyle w:val="Heading2"/>
      </w:pPr>
      <w:r>
        <w:t xml:space="preserve">The reported-quarter hurdle: company guidance</w:t>
      </w:r>
    </w:p>
    <w:p>
      <w:pPr>
        <w:pStyle w:val="FirstParagraph"/>
      </w:pPr>
      <w:r>
        <w:t xml:space="preserve">For fiscal Q1 2027, Microchip guided to:</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Guidance</w:t>
            </w:r>
          </w:p>
        </w:tc>
        <w:tc>
          <w:tcPr/>
          <w:p>
            <w:pPr>
              <w:pStyle w:val="Compact"/>
              <w:jc w:val="right"/>
            </w:pPr>
            <w:r>
              <w:t xml:space="preserve">Midpoint</w:t>
            </w:r>
          </w:p>
        </w:tc>
        <w:tc>
          <w:tcPr/>
          <w:p>
            <w:pPr>
              <w:pStyle w:val="Compact"/>
              <w:jc w:val="right"/>
            </w:pPr>
            <w:r>
              <w:t xml:space="preserve">Sequential change at midpoint</w:t>
            </w:r>
          </w:p>
        </w:tc>
      </w:tr>
      <w:tr>
        <w:tc>
          <w:tcPr/>
          <w:p>
            <w:pPr>
              <w:pStyle w:val="Compact"/>
            </w:pPr>
            <w:r>
              <w:t xml:space="preserve">Revenue</w:t>
            </w:r>
          </w:p>
        </w:tc>
        <w:tc>
          <w:tcPr/>
          <w:p>
            <w:pPr>
              <w:pStyle w:val="Compact"/>
              <w:jc w:val="right"/>
            </w:pPr>
            <m:oMath>
              <m:r>
                <m:t>1.442</m:t>
              </m:r>
              <m:r>
                <m:t>B</m:t>
              </m:r>
              <m:r>
                <m:rPr>
                  <m:sty m:val="p"/>
                </m:rPr>
                <m:t>–</m:t>
              </m:r>
            </m:oMath>
            <w:r>
              <w:t xml:space="preserve">1.469B</w:t>
            </w:r>
          </w:p>
        </w:tc>
        <w:tc>
          <w:tcPr/>
          <w:p>
            <w:pPr>
              <w:pStyle w:val="Compact"/>
              <w:jc w:val="right"/>
            </w:pPr>
            <w:r>
              <w:rPr>
                <w:b/>
                <w:bCs/>
              </w:rPr>
              <w:t xml:space="preserve">$1.456B</w:t>
            </w:r>
          </w:p>
        </w:tc>
        <w:tc>
          <w:tcPr/>
          <w:p>
            <w:pPr>
              <w:pStyle w:val="Compact"/>
              <w:jc w:val="right"/>
            </w:pPr>
            <w:r>
              <w:rPr>
                <w:b/>
                <w:bCs/>
              </w:rPr>
              <w:t xml:space="preserve">+11.0%</w:t>
            </w:r>
          </w:p>
        </w:tc>
      </w:tr>
      <w:tr>
        <w:tc>
          <w:tcPr/>
          <w:p>
            <w:pPr>
              <w:pStyle w:val="Compact"/>
            </w:pPr>
            <w:r>
              <w:t xml:space="preserve">Non-GAAP gross margin</w:t>
            </w:r>
          </w:p>
        </w:tc>
        <w:tc>
          <w:tcPr/>
          <w:p>
            <w:pPr>
              <w:pStyle w:val="Compact"/>
              <w:jc w:val="right"/>
            </w:pPr>
            <w:r>
              <w:t xml:space="preserve">62.25%–63.25%</w:t>
            </w:r>
          </w:p>
        </w:tc>
        <w:tc>
          <w:tcPr/>
          <w:p>
            <w:pPr>
              <w:pStyle w:val="Compact"/>
              <w:jc w:val="right"/>
            </w:pPr>
            <w:r>
              <w:rPr>
                <w:b/>
                <w:bCs/>
              </w:rPr>
              <w:t xml:space="preserve">62.75%</w:t>
            </w:r>
          </w:p>
        </w:tc>
        <w:tc>
          <w:tcPr/>
          <w:p>
            <w:pPr>
              <w:pStyle w:val="Compact"/>
              <w:jc w:val="right"/>
            </w:pPr>
            <w:r>
              <w:t xml:space="preserve">+115 bps vs. March-quarter actual</w:t>
            </w:r>
          </w:p>
        </w:tc>
      </w:tr>
      <w:tr>
        <w:tc>
          <w:tcPr/>
          <w:p>
            <w:pPr>
              <w:pStyle w:val="Compact"/>
            </w:pPr>
            <w:r>
              <w:t xml:space="preserve">Non-GAAP operating expense</w:t>
            </w:r>
          </w:p>
        </w:tc>
        <w:tc>
          <w:tcPr/>
          <w:p>
            <w:pPr>
              <w:pStyle w:val="Compact"/>
              <w:jc w:val="right"/>
            </w:pPr>
            <w:r>
              <w:t xml:space="preserve">28.75%–29.25% of revenue</w:t>
            </w:r>
          </w:p>
        </w:tc>
        <w:tc>
          <w:tcPr/>
          <w:p>
            <w:pPr>
              <w:pStyle w:val="Compact"/>
              <w:jc w:val="right"/>
            </w:pPr>
            <w:r>
              <w:rPr>
                <w:b/>
                <w:bCs/>
              </w:rPr>
              <w:t xml:space="preserve">29.0%</w:t>
            </w:r>
          </w:p>
        </w:tc>
        <w:tc>
          <w:tcPr/>
          <w:p>
            <w:pPr>
              <w:pStyle w:val="Compact"/>
              <w:jc w:val="right"/>
            </w:pPr>
            <w:r>
              <w:t xml:space="preserve">-200 bps vs. March-quarter actual</w:t>
            </w:r>
          </w:p>
        </w:tc>
      </w:tr>
      <w:tr>
        <w:tc>
          <w:tcPr/>
          <w:p>
            <w:pPr>
              <w:pStyle w:val="Compact"/>
            </w:pPr>
            <w:r>
              <w:t xml:space="preserve">Non-GAAP operating margin</w:t>
            </w:r>
          </w:p>
        </w:tc>
        <w:tc>
          <w:tcPr/>
          <w:p>
            <w:pPr>
              <w:pStyle w:val="Compact"/>
              <w:jc w:val="right"/>
            </w:pPr>
            <w:r>
              <w:t xml:space="preserve">33.0%–34.5%</w:t>
            </w:r>
          </w:p>
        </w:tc>
        <w:tc>
          <w:tcPr/>
          <w:p>
            <w:pPr>
              <w:pStyle w:val="Compact"/>
              <w:jc w:val="right"/>
            </w:pPr>
            <w:r>
              <w:rPr>
                <w:b/>
                <w:bCs/>
              </w:rPr>
              <w:t xml:space="preserve">33.75%</w:t>
            </w:r>
          </w:p>
        </w:tc>
        <w:tc>
          <w:tcPr/>
          <w:p>
            <w:pPr>
              <w:pStyle w:val="Compact"/>
              <w:jc w:val="right"/>
            </w:pPr>
            <w:r>
              <w:t xml:space="preserve">+315 bps vs. March-quarter actual</w:t>
            </w:r>
          </w:p>
        </w:tc>
      </w:tr>
      <w:tr>
        <w:tc>
          <w:tcPr/>
          <w:p>
            <w:pPr>
              <w:pStyle w:val="Compact"/>
            </w:pPr>
            <w:r>
              <w:t xml:space="preserve">Non-GAAP EPS</w:t>
            </w:r>
          </w:p>
        </w:tc>
        <w:tc>
          <w:tcPr/>
          <w:p>
            <w:pPr>
              <w:pStyle w:val="Compact"/>
              <w:jc w:val="right"/>
            </w:pPr>
            <m:oMath>
              <m:r>
                <m:t>0.67</m:t>
              </m:r>
              <m:r>
                <m:rPr>
                  <m:sty m:val="p"/>
                </m:rPr>
                <m:t>–</m:t>
              </m:r>
            </m:oMath>
            <w:r>
              <w:t xml:space="preserve">0.71</w:t>
            </w:r>
          </w:p>
        </w:tc>
        <w:tc>
          <w:tcPr/>
          <w:p>
            <w:pPr>
              <w:pStyle w:val="Compact"/>
              <w:jc w:val="right"/>
            </w:pPr>
            <w:r>
              <w:rPr>
                <w:b/>
                <w:bCs/>
              </w:rPr>
              <w:t xml:space="preserve">$0.69</w:t>
            </w:r>
          </w:p>
        </w:tc>
        <w:tc>
          <w:tcPr/>
          <w:p>
            <w:pPr>
              <w:pStyle w:val="Compact"/>
              <w:jc w:val="right"/>
            </w:pPr>
            <w:r>
              <w:t xml:space="preserve">+21% vs. $0.57 in FY26 Q4</w:t>
            </w:r>
          </w:p>
        </w:tc>
      </w:tr>
    </w:tbl>
    <w:p>
      <w:pPr>
        <w:pStyle w:val="BodyText"/>
      </w:pPr>
      <w:r>
        <w:t xml:space="preserve">The setup is therefore straightforward:</w:t>
      </w:r>
      <w:r>
        <w:t xml:space="preserve"> </w:t>
      </w:r>
      <w:r>
        <w:rPr>
          <w:b/>
          <w:bCs/>
        </w:rPr>
        <w:t xml:space="preserve">revenue around $1.46 billion and non-GAAP EPS around $0.69 are merely the baseline.</w:t>
      </w:r>
      <w:r>
        <w:t xml:space="preserve"> </w:t>
      </w:r>
      <w:r>
        <w:t xml:space="preserve">The market will likely focus on the degree of upside, but especially on the September outlook and the durability of the recovery.</w:t>
      </w:r>
    </w:p>
    <w:bookmarkEnd w:id="10"/>
    <w:bookmarkStart w:id="14" w:name="why-the-setup-has-improved"/>
    <w:p>
      <w:pPr>
        <w:pStyle w:val="Heading2"/>
      </w:pPr>
      <w:r>
        <w:t xml:space="preserve">Why the setup has improved</w:t>
      </w:r>
    </w:p>
    <w:bookmarkStart w:id="11" w:name="X18957dc1902da78677147f154691627fc5f96dd"/>
    <w:p>
      <w:pPr>
        <w:pStyle w:val="Heading3"/>
      </w:pPr>
      <w:r>
        <w:t xml:space="preserve">1. Inventory correction appears largely complete</w:t>
      </w:r>
    </w:p>
    <w:p>
      <w:pPr>
        <w:pStyle w:val="FirstParagraph"/>
      </w:pPr>
      <w:r>
        <w:t xml:space="preserve">This is the core recovery variable. At the end of fiscal Q4, Microchip reported:</w:t>
      </w:r>
    </w:p>
    <w:p>
      <w:pPr>
        <w:pStyle w:val="Compact"/>
        <w:numPr>
          <w:ilvl w:val="0"/>
          <w:numId w:val="1001"/>
        </w:numPr>
      </w:pPr>
      <w:r>
        <w:rPr>
          <w:b/>
          <w:bCs/>
        </w:rPr>
        <w:t xml:space="preserve">Internal inventory:</w:t>
      </w:r>
      <w:r>
        <w:t xml:space="preserve"> </w:t>
      </w:r>
      <w:r>
        <w:t xml:space="preserve">$1.035 billion, or</w:t>
      </w:r>
      <w:r>
        <w:t xml:space="preserve"> </w:t>
      </w:r>
      <w:r>
        <w:rPr>
          <w:b/>
          <w:bCs/>
        </w:rPr>
        <w:t xml:space="preserve">185 days</w:t>
      </w:r>
      <w:r>
        <w:t xml:space="preserve">, down from 201 days in the prior quarter and down materially from the December 2024 peak.</w:t>
      </w:r>
    </w:p>
    <w:p>
      <w:pPr>
        <w:pStyle w:val="Compact"/>
        <w:numPr>
          <w:ilvl w:val="0"/>
          <w:numId w:val="1001"/>
        </w:numPr>
      </w:pPr>
      <w:r>
        <w:rPr>
          <w:b/>
          <w:bCs/>
        </w:rPr>
        <w:t xml:space="preserve">Distributor inventory:</w:t>
      </w:r>
      <w:r>
        <w:t xml:space="preserve"> </w:t>
      </w:r>
      <w:r>
        <w:rPr>
          <w:b/>
          <w:bCs/>
        </w:rPr>
        <w:t xml:space="preserve">26 days</w:t>
      </w:r>
      <w:r>
        <w:t xml:space="preserve">, near the low end of Microchip’s historical range.</w:t>
      </w:r>
    </w:p>
    <w:p>
      <w:pPr>
        <w:pStyle w:val="Compact"/>
        <w:numPr>
          <w:ilvl w:val="0"/>
          <w:numId w:val="1001"/>
        </w:numPr>
      </w:pPr>
      <w:r>
        <w:rPr>
          <w:b/>
          <w:bCs/>
        </w:rPr>
        <w:t xml:space="preserve">Distributor sell-through:</w:t>
      </w:r>
      <w:r>
        <w:t xml:space="preserve"> </w:t>
      </w:r>
      <w:r>
        <w:t xml:space="preserve">up</w:t>
      </w:r>
      <w:r>
        <w:t xml:space="preserve"> </w:t>
      </w:r>
      <w:r>
        <w:rPr>
          <w:b/>
          <w:bCs/>
        </w:rPr>
        <w:t xml:space="preserve">11.4% sequentially</w:t>
      </w:r>
      <w:r>
        <w:t xml:space="preserve"> </w:t>
      </w:r>
      <w:r>
        <w:t xml:space="preserve">in the March quarter.</w:t>
      </w:r>
    </w:p>
    <w:p>
      <w:pPr>
        <w:pStyle w:val="Compact"/>
        <w:numPr>
          <w:ilvl w:val="0"/>
          <w:numId w:val="1001"/>
        </w:numPr>
      </w:pPr>
      <w:r>
        <w:t xml:space="preserve">Management said distribution sell-in was only modestly below sell-through and expected distributors to begin restocking as their inventory needed to support growth.</w:t>
      </w:r>
    </w:p>
    <w:p>
      <w:pPr>
        <w:pStyle w:val="FirstParagraph"/>
      </w:pPr>
      <w:r>
        <w:t xml:space="preserve">Management characterized the distribution correction as effectively complete, while acknowledging that isolated customer/SKU pockets could remain overstocked. The key earnings question is whether the June-quarter data confirms that shipments are now tracking true demand plus appropriate channel replenishment—not simply a short-lived restocking burst.</w:t>
      </w:r>
    </w:p>
    <w:p>
      <w:pPr>
        <w:pStyle w:val="BodyText"/>
      </w:pPr>
      <w:r>
        <w:rPr>
          <w:b/>
          <w:bCs/>
        </w:rPr>
        <w:t xml:space="preserve">What investors should want to hear:</w:t>
      </w:r>
      <w:r>
        <w:t xml:space="preserve"> </w:t>
      </w:r>
      <w:r>
        <w:t xml:space="preserve">distributor inventory stays controlled, sell-through remains ahead of or broadly aligned with sell-in, and customer reengagement continues across the long tail of industrial customers.</w:t>
      </w:r>
    </w:p>
    <w:bookmarkEnd w:id="11"/>
    <w:bookmarkStart w:id="12" w:name="Xec251025a2eff0bd0df96d9977a8ff8adb0f95d"/>
    <w:p>
      <w:pPr>
        <w:pStyle w:val="Heading3"/>
      </w:pPr>
      <w:r>
        <w:t xml:space="preserve">2. Margin recovery has more room to run</w:t>
      </w:r>
    </w:p>
    <w:p>
      <w:pPr>
        <w:pStyle w:val="FirstParagraph"/>
      </w:pPr>
      <w:r>
        <w:t xml:space="preserve">Microchip’s non-GAAP gross margin climbed from a cycle trough of</w:t>
      </w:r>
      <w:r>
        <w:t xml:space="preserve"> </w:t>
      </w:r>
      <w:r>
        <w:rPr>
          <w:b/>
          <w:bCs/>
        </w:rPr>
        <w:t xml:space="preserve">52.0% in fiscal Q4 2025</w:t>
      </w:r>
      <w:r>
        <w:t xml:space="preserve"> </w:t>
      </w:r>
      <w:r>
        <w:t xml:space="preserve">to</w:t>
      </w:r>
      <w:r>
        <w:t xml:space="preserve"> </w:t>
      </w:r>
      <w:r>
        <w:rPr>
          <w:b/>
          <w:bCs/>
        </w:rPr>
        <w:t xml:space="preserve">61.6% in fiscal Q4 2026</w:t>
      </w:r>
      <w:r>
        <w:t xml:space="preserve">. The June-quarter midpoint implies another step to</w:t>
      </w:r>
      <w:r>
        <w:t xml:space="preserve"> </w:t>
      </w:r>
      <w:r>
        <w:rPr>
          <w:b/>
          <w:bCs/>
        </w:rPr>
        <w:t xml:space="preserve">62.75%</w:t>
      </w:r>
      <w:r>
        <w:t xml:space="preserve">.</w:t>
      </w:r>
    </w:p>
    <w:p>
      <w:pPr>
        <w:pStyle w:val="BodyText"/>
      </w:pPr>
      <w:r>
        <w:t xml:space="preserve">Importantly, management said fiscal Q4 gross margin still included</w:t>
      </w:r>
      <w:r>
        <w:t xml:space="preserve"> </w:t>
      </w:r>
      <w:r>
        <w:rPr>
          <w:b/>
          <w:bCs/>
        </w:rPr>
        <w:t xml:space="preserve">$46.6 million of capacity-underutilization charges</w:t>
      </w:r>
      <w:r>
        <w:t xml:space="preserve">. It argued that excluding this headwind, the business was already approximately at its long-term</w:t>
      </w:r>
      <w:r>
        <w:t xml:space="preserve"> </w:t>
      </w:r>
      <w:r>
        <w:rPr>
          <w:b/>
          <w:bCs/>
        </w:rPr>
        <w:t xml:space="preserve">65% gross-margin target</w:t>
      </w:r>
      <w:r>
        <w:t xml:space="preserve">. Factory utilization is now being raised in both front-end and back-end operations as inventory is reduced and demand improves.</w:t>
      </w:r>
    </w:p>
    <w:p>
      <w:pPr>
        <w:pStyle w:val="BodyText"/>
      </w:pPr>
      <w:r>
        <w:t xml:space="preserve">That makes factory loading the most important margin variable. A better-than-guided gross margin—paired with constructive commentary on underutilization charges—would reinforce the case that the earnings recovery has not fully played out. Conversely, a margin miss would raise questions about mix, utilization, costs, or the pace of inventory normalization.</w:t>
      </w:r>
    </w:p>
    <w:bookmarkEnd w:id="12"/>
    <w:bookmarkStart w:id="13" w:name="X1ab8bfc8fe6cf8fc467ee3fef9c7ae1602fab2d"/>
    <w:p>
      <w:pPr>
        <w:pStyle w:val="Heading3"/>
      </w:pPr>
      <w:r>
        <w:t xml:space="preserve">3. Recovery is broadening beyond one end market</w:t>
      </w:r>
    </w:p>
    <w:p>
      <w:pPr>
        <w:pStyle w:val="FirstParagraph"/>
      </w:pPr>
      <w:r>
        <w:t xml:space="preserve">Microchip’s fiscal 2026 revenue mix was approximately:</w:t>
      </w:r>
    </w:p>
    <w:p>
      <w:pPr>
        <w:pStyle w:val="Compact"/>
        <w:numPr>
          <w:ilvl w:val="0"/>
          <w:numId w:val="1002"/>
        </w:numPr>
      </w:pPr>
      <w:r>
        <w:rPr>
          <w:b/>
          <w:bCs/>
        </w:rPr>
        <w:t xml:space="preserve">Industrial:</w:t>
      </w:r>
      <w:r>
        <w:t xml:space="preserve"> </w:t>
      </w:r>
      <w:r>
        <w:t xml:space="preserve">31%</w:t>
      </w:r>
    </w:p>
    <w:p>
      <w:pPr>
        <w:pStyle w:val="Compact"/>
        <w:numPr>
          <w:ilvl w:val="0"/>
          <w:numId w:val="1002"/>
        </w:numPr>
      </w:pPr>
      <w:r>
        <w:rPr>
          <w:b/>
          <w:bCs/>
        </w:rPr>
        <w:t xml:space="preserve">Data center and compute:</w:t>
      </w:r>
      <w:r>
        <w:t xml:space="preserve"> </w:t>
      </w:r>
      <w:r>
        <w:t xml:space="preserve">18%</w:t>
      </w:r>
    </w:p>
    <w:p>
      <w:pPr>
        <w:pStyle w:val="Compact"/>
        <w:numPr>
          <w:ilvl w:val="0"/>
          <w:numId w:val="1002"/>
        </w:numPr>
      </w:pPr>
      <w:r>
        <w:rPr>
          <w:b/>
          <w:bCs/>
        </w:rPr>
        <w:t xml:space="preserve">Automotive:</w:t>
      </w:r>
      <w:r>
        <w:t xml:space="preserve"> </w:t>
      </w:r>
      <w:r>
        <w:t xml:space="preserve">17%</w:t>
      </w:r>
    </w:p>
    <w:p>
      <w:pPr>
        <w:pStyle w:val="Compact"/>
        <w:numPr>
          <w:ilvl w:val="0"/>
          <w:numId w:val="1002"/>
        </w:numPr>
      </w:pPr>
      <w:r>
        <w:rPr>
          <w:b/>
          <w:bCs/>
        </w:rPr>
        <w:t xml:space="preserve">Aerospace and defense:</w:t>
      </w:r>
      <w:r>
        <w:t xml:space="preserve"> </w:t>
      </w:r>
      <w:r>
        <w:t xml:space="preserve">16%</w:t>
      </w:r>
    </w:p>
    <w:p>
      <w:pPr>
        <w:pStyle w:val="Compact"/>
        <w:numPr>
          <w:ilvl w:val="0"/>
          <w:numId w:val="1002"/>
        </w:numPr>
      </w:pPr>
      <w:r>
        <w:rPr>
          <w:b/>
          <w:bCs/>
        </w:rPr>
        <w:t xml:space="preserve">Communications:</w:t>
      </w:r>
      <w:r>
        <w:t xml:space="preserve"> </w:t>
      </w:r>
      <w:r>
        <w:t xml:space="preserve">9%</w:t>
      </w:r>
    </w:p>
    <w:p>
      <w:pPr>
        <w:pStyle w:val="Compact"/>
        <w:numPr>
          <w:ilvl w:val="0"/>
          <w:numId w:val="1002"/>
        </w:numPr>
      </w:pPr>
      <w:r>
        <w:rPr>
          <w:b/>
          <w:bCs/>
        </w:rPr>
        <w:t xml:space="preserve">Consumer:</w:t>
      </w:r>
      <w:r>
        <w:t xml:space="preserve"> </w:t>
      </w:r>
      <w:r>
        <w:t xml:space="preserve">9%</w:t>
      </w:r>
    </w:p>
    <w:p>
      <w:pPr>
        <w:pStyle w:val="FirstParagraph"/>
      </w:pPr>
      <w:r>
        <w:t xml:space="preserve">Management indicated that June-quarter growth should be broad-based, including</w:t>
      </w:r>
      <w:r>
        <w:t xml:space="preserve"> </w:t>
      </w:r>
      <w:r>
        <w:rPr>
          <w:b/>
          <w:bCs/>
        </w:rPr>
        <w:t xml:space="preserve">data center, aerospace and defense, industrial, and automotive</w:t>
      </w:r>
      <w:r>
        <w:t xml:space="preserve">. That breadth matters because Microchip’s recovery originally had more visible support from aerospace/defense and data center; a sustained upcycle requires industrial and automotive to participate meaningfully.</w:t>
      </w:r>
    </w:p>
    <w:p>
      <w:pPr>
        <w:pStyle w:val="BodyText"/>
      </w:pPr>
      <w:r>
        <w:t xml:space="preserve">Management’s prior commentary also suggested:</w:t>
      </w:r>
    </w:p>
    <w:p>
      <w:pPr>
        <w:pStyle w:val="Compact"/>
        <w:numPr>
          <w:ilvl w:val="0"/>
          <w:numId w:val="1003"/>
        </w:numPr>
      </w:pPr>
      <w:r>
        <w:rPr>
          <w:b/>
          <w:bCs/>
        </w:rPr>
        <w:t xml:space="preserve">Aerospace and defense</w:t>
      </w:r>
      <w:r>
        <w:t xml:space="preserve"> </w:t>
      </w:r>
      <w:r>
        <w:t xml:space="preserve">remains strong, though its long qualification and production cycles make growth steadier rather than explosive.</w:t>
      </w:r>
    </w:p>
    <w:p>
      <w:pPr>
        <w:pStyle w:val="Compact"/>
        <w:numPr>
          <w:ilvl w:val="0"/>
          <w:numId w:val="1003"/>
        </w:numPr>
      </w:pPr>
      <w:r>
        <w:rPr>
          <w:b/>
          <w:bCs/>
        </w:rPr>
        <w:t xml:space="preserve">Automotive</w:t>
      </w:r>
      <w:r>
        <w:t xml:space="preserve"> </w:t>
      </w:r>
      <w:r>
        <w:t xml:space="preserve">is recovering, including production ramps from designs incubated over prior years.</w:t>
      </w:r>
    </w:p>
    <w:p>
      <w:pPr>
        <w:pStyle w:val="Compact"/>
        <w:numPr>
          <w:ilvl w:val="0"/>
          <w:numId w:val="1003"/>
        </w:numPr>
      </w:pPr>
      <w:r>
        <w:rPr>
          <w:b/>
          <w:bCs/>
        </w:rPr>
        <w:t xml:space="preserve">Industrial</w:t>
      </w:r>
      <w:r>
        <w:t xml:space="preserve"> </w:t>
      </w:r>
      <w:r>
        <w:t xml:space="preserve">is strengthening after a prolonged inventory correction.</w:t>
      </w:r>
    </w:p>
    <w:p>
      <w:pPr>
        <w:pStyle w:val="Compact"/>
        <w:numPr>
          <w:ilvl w:val="0"/>
          <w:numId w:val="1003"/>
        </w:numPr>
      </w:pPr>
      <w:r>
        <w:rPr>
          <w:b/>
          <w:bCs/>
        </w:rPr>
        <w:t xml:space="preserve">Data center</w:t>
      </w:r>
      <w:r>
        <w:t xml:space="preserve"> </w:t>
      </w:r>
      <w:r>
        <w:t xml:space="preserve">is benefiting from PCIe Gen 6 switching, retimers, CXL/memory connectivity, storage controllers, digital power, and broader AI-infrastructure content.</w:t>
      </w:r>
    </w:p>
    <w:bookmarkEnd w:id="13"/>
    <w:bookmarkEnd w:id="14"/>
    <w:bookmarkStart w:id="15" w:name="X3f8fda02519098b7d9469b696b78226ff951d45"/>
    <w:p>
      <w:pPr>
        <w:pStyle w:val="Heading2"/>
      </w:pPr>
      <w:r>
        <w:t xml:space="preserve">Data center: upside optionality, but not the current earnings driver</w:t>
      </w:r>
    </w:p>
    <w:p>
      <w:pPr>
        <w:pStyle w:val="FirstParagraph"/>
      </w:pPr>
      <w:r>
        <w:t xml:space="preserve">Microchip’s data-center narrative is becoming more strategically important. The company has cited momentum across three product areas:</w:t>
      </w:r>
    </w:p>
    <w:p>
      <w:pPr>
        <w:pStyle w:val="Compact"/>
        <w:numPr>
          <w:ilvl w:val="0"/>
          <w:numId w:val="1004"/>
        </w:numPr>
      </w:pPr>
      <w:r>
        <w:rPr>
          <w:b/>
          <w:bCs/>
        </w:rPr>
        <w:t xml:space="preserve">Storage controllers</w:t>
      </w:r>
    </w:p>
    <w:p>
      <w:pPr>
        <w:pStyle w:val="Compact"/>
        <w:numPr>
          <w:ilvl w:val="0"/>
          <w:numId w:val="1004"/>
        </w:numPr>
      </w:pPr>
      <w:r>
        <w:rPr>
          <w:b/>
          <w:bCs/>
        </w:rPr>
        <w:t xml:space="preserve">CXL and PCIe-based memory controllers</w:t>
      </w:r>
    </w:p>
    <w:p>
      <w:pPr>
        <w:pStyle w:val="Compact"/>
        <w:numPr>
          <w:ilvl w:val="0"/>
          <w:numId w:val="1004"/>
        </w:numPr>
      </w:pPr>
      <w:r>
        <w:rPr>
          <w:b/>
          <w:bCs/>
        </w:rPr>
        <w:t xml:space="preserve">PCIe Gen 6 switches and retimers</w:t>
      </w:r>
    </w:p>
    <w:p>
      <w:pPr>
        <w:pStyle w:val="FirstParagraph"/>
      </w:pPr>
      <w:r>
        <w:t xml:space="preserve">The Gen 6 switch had six notable design wins before its expected production release, while the retimer business had already secured a major OEM platform win. Management expects more meaningful revenue ramps in the following fiscal year rather than an immediate step-function contribution in the June quarter.</w:t>
      </w:r>
    </w:p>
    <w:p>
      <w:pPr>
        <w:pStyle w:val="BodyText"/>
      </w:pPr>
      <w:r>
        <w:t xml:space="preserve">For this report, investors should look for evidence that design wins are converting into volume ramps and that supply constraints—particularly substrates—are manageable. Data center is a meaningful upside lever, but it should be assessed as a</w:t>
      </w:r>
      <w:r>
        <w:t xml:space="preserve"> </w:t>
      </w:r>
      <w:r>
        <w:rPr>
          <w:b/>
          <w:bCs/>
        </w:rPr>
        <w:t xml:space="preserve">multi-quarter content-growth opportunity</w:t>
      </w:r>
      <w:r>
        <w:t xml:space="preserve">, not solely as a near-term revenue catalyst.</w:t>
      </w:r>
    </w:p>
    <w:bookmarkEnd w:id="15"/>
    <w:bookmarkStart w:id="16" w:name="X4409fa115df3dad6f1abbd8ae785dda66273175"/>
    <w:p>
      <w:pPr>
        <w:pStyle w:val="Heading2"/>
      </w:pPr>
      <w:r>
        <w:t xml:space="preserve">September guidance will matter more than the June print</w:t>
      </w:r>
    </w:p>
    <w:p>
      <w:pPr>
        <w:pStyle w:val="FirstParagraph"/>
      </w:pPr>
      <w:r>
        <w:t xml:space="preserve">The June-quarter guide was notably strong relative to normal seasonality. In May, management said:</w:t>
      </w:r>
    </w:p>
    <w:p>
      <w:pPr>
        <w:pStyle w:val="Compact"/>
        <w:numPr>
          <w:ilvl w:val="0"/>
          <w:numId w:val="1005"/>
        </w:numPr>
      </w:pPr>
      <w:r>
        <w:t xml:space="preserve">April was its</w:t>
      </w:r>
      <w:r>
        <w:t xml:space="preserve"> </w:t>
      </w:r>
      <w:r>
        <w:rPr>
          <w:b/>
          <w:bCs/>
        </w:rPr>
        <w:t xml:space="preserve">largest booking month in almost four years</w:t>
      </w:r>
      <w:r>
        <w:t xml:space="preserve">.</w:t>
      </w:r>
    </w:p>
    <w:p>
      <w:pPr>
        <w:pStyle w:val="Compact"/>
        <w:numPr>
          <w:ilvl w:val="0"/>
          <w:numId w:val="1005"/>
        </w:numPr>
      </w:pPr>
      <w:r>
        <w:t xml:space="preserve">March-quarter book-to-bill was</w:t>
      </w:r>
      <w:r>
        <w:t xml:space="preserve"> </w:t>
      </w:r>
      <w:r>
        <w:rPr>
          <w:b/>
          <w:bCs/>
        </w:rPr>
        <w:t xml:space="preserve">well above 1</w:t>
      </w:r>
      <w:r>
        <w:t xml:space="preserve">.</w:t>
      </w:r>
    </w:p>
    <w:p>
      <w:pPr>
        <w:pStyle w:val="Compact"/>
        <w:numPr>
          <w:ilvl w:val="0"/>
          <w:numId w:val="1005"/>
        </w:numPr>
      </w:pPr>
      <w:r>
        <w:t xml:space="preserve">Backlog entering September was higher than June-quarter backlog had been at the comparable point.</w:t>
      </w:r>
    </w:p>
    <w:p>
      <w:pPr>
        <w:pStyle w:val="Compact"/>
        <w:numPr>
          <w:ilvl w:val="0"/>
          <w:numId w:val="1005"/>
        </w:numPr>
      </w:pPr>
      <w:r>
        <w:t xml:space="preserve">Lead times were beginning to rise across a broader set of products.</w:t>
      </w:r>
    </w:p>
    <w:p>
      <w:pPr>
        <w:pStyle w:val="Compact"/>
        <w:numPr>
          <w:ilvl w:val="0"/>
          <w:numId w:val="1005"/>
        </w:numPr>
      </w:pPr>
      <w:r>
        <w:t xml:space="preserve">Customer expedite requests had increased as inventories became lean.</w:t>
      </w:r>
    </w:p>
    <w:p>
      <w:pPr>
        <w:pStyle w:val="FirstParagraph"/>
      </w:pPr>
      <w:r>
        <w:t xml:space="preserve">Those indicators point to a constructive September setup. But the company stopped short of providing a quantified September growth outlook in May. Therefore, the central question after results will be:</w:t>
      </w:r>
    </w:p>
    <w:p>
      <w:pPr>
        <w:pStyle w:val="BlockText"/>
      </w:pPr>
      <w:r>
        <w:rPr>
          <w:b/>
          <w:bCs/>
        </w:rPr>
        <w:t xml:space="preserve">Can Microchip guide September revenue growth above normal seasonal patterns while sustaining gross-margin expansion?</w:t>
      </w:r>
    </w:p>
    <w:p>
      <w:pPr>
        <w:pStyle w:val="FirstParagraph"/>
      </w:pPr>
      <w:r>
        <w:t xml:space="preserve">A strong September guide would validate the view that the business has moved from inventory digestion to a broad demand recovery. More cautious guidance—particularly if attributed to supply limitations, uneven industrial/automotive demand, or slowing restocking—would likely temper the recovery narrative.</w:t>
      </w:r>
    </w:p>
    <w:bookmarkEnd w:id="16"/>
    <w:bookmarkStart w:id="17" w:name="X54cbe86a241e4afa9c25503ee20d5be4a1d0457"/>
    <w:p>
      <w:pPr>
        <w:pStyle w:val="Heading2"/>
      </w:pPr>
      <w:r>
        <w:t xml:space="preserve">Balance sheet and cash generation: a quieter but important catalyst</w:t>
      </w:r>
    </w:p>
    <w:p>
      <w:pPr>
        <w:pStyle w:val="FirstParagraph"/>
      </w:pPr>
      <w:r>
        <w:t xml:space="preserve">Microchip ended March with:</w:t>
      </w:r>
    </w:p>
    <w:p>
      <w:pPr>
        <w:pStyle w:val="Compact"/>
        <w:numPr>
          <w:ilvl w:val="0"/>
          <w:numId w:val="1006"/>
        </w:numPr>
      </w:pPr>
      <w:r>
        <w:rPr>
          <w:b/>
          <w:bCs/>
        </w:rPr>
        <w:t xml:space="preserve">$240 million</w:t>
      </w:r>
      <w:r>
        <w:t xml:space="preserve"> </w:t>
      </w:r>
      <w:r>
        <w:t xml:space="preserve">of cash and short-term investments</w:t>
      </w:r>
    </w:p>
    <w:p>
      <w:pPr>
        <w:pStyle w:val="Compact"/>
        <w:numPr>
          <w:ilvl w:val="0"/>
          <w:numId w:val="1006"/>
        </w:numPr>
      </w:pPr>
      <w:r>
        <w:rPr>
          <w:b/>
          <w:bCs/>
        </w:rPr>
        <w:t xml:space="preserve">$5.50 billion</w:t>
      </w:r>
      <w:r>
        <w:t xml:space="preserve"> </w:t>
      </w:r>
      <w:r>
        <w:t xml:space="preserve">of long-term debt</w:t>
      </w:r>
    </w:p>
    <w:p>
      <w:pPr>
        <w:pStyle w:val="Compact"/>
        <w:numPr>
          <w:ilvl w:val="0"/>
          <w:numId w:val="1006"/>
        </w:numPr>
      </w:pPr>
      <w:r>
        <w:rPr>
          <w:b/>
          <w:bCs/>
        </w:rPr>
        <w:t xml:space="preserve">3.54x net debt / trailing-12-month adjusted EBITDA</w:t>
      </w:r>
      <w:r>
        <w:t xml:space="preserve">, down from 4.18x in the preceding quarter</w:t>
      </w:r>
    </w:p>
    <w:p>
      <w:pPr>
        <w:pStyle w:val="Compact"/>
        <w:numPr>
          <w:ilvl w:val="0"/>
          <w:numId w:val="1006"/>
        </w:numPr>
      </w:pPr>
      <w:r>
        <w:rPr>
          <w:b/>
          <w:bCs/>
        </w:rPr>
        <w:t xml:space="preserve">$243 million</w:t>
      </w:r>
      <w:r>
        <w:t xml:space="preserve"> </w:t>
      </w:r>
      <w:r>
        <w:t xml:space="preserve">of quarterly free cash flow before the company’s adjusted presentation</w:t>
      </w:r>
    </w:p>
    <w:p>
      <w:pPr>
        <w:pStyle w:val="FirstParagraph"/>
      </w:pPr>
      <w:r>
        <w:t xml:space="preserve">Management expected June to be an “excellent cash-generation quarter,” with meaningful debt reduction and net leverage falling</w:t>
      </w:r>
      <w:r>
        <w:t xml:space="preserve"> </w:t>
      </w:r>
      <w:r>
        <w:rPr>
          <w:b/>
          <w:bCs/>
        </w:rPr>
        <w:t xml:space="preserve">below 3x</w:t>
      </w:r>
      <w:r>
        <w:t xml:space="preserve">. Meeting or exceeding that target would matter: it improves financial flexibility, supports the dividend, and lowers the risk that leverage becomes a constraint if the cycle proves less linear than expected.</w:t>
      </w:r>
    </w:p>
    <w:bookmarkEnd w:id="17"/>
    <w:bookmarkStart w:id="20" w:name="key-watch-items"/>
    <w:p>
      <w:pPr>
        <w:pStyle w:val="Heading2"/>
      </w:pPr>
      <w:r>
        <w:t xml:space="preserve">Key watch items</w:t>
      </w:r>
    </w:p>
    <w:bookmarkStart w:id="18" w:name="bullish-read-throughs"/>
    <w:p>
      <w:pPr>
        <w:pStyle w:val="Heading3"/>
      </w:pPr>
      <w:r>
        <w:t xml:space="preserve">Bullish read-throughs</w:t>
      </w:r>
    </w:p>
    <w:p>
      <w:pPr>
        <w:pStyle w:val="Compact"/>
        <w:numPr>
          <w:ilvl w:val="0"/>
          <w:numId w:val="1007"/>
        </w:numPr>
      </w:pPr>
      <w:r>
        <w:t xml:space="preserve">Revenue and EPS above the top end of guidance.</w:t>
      </w:r>
    </w:p>
    <w:p>
      <w:pPr>
        <w:pStyle w:val="Compact"/>
        <w:numPr>
          <w:ilvl w:val="0"/>
          <w:numId w:val="1007"/>
        </w:numPr>
      </w:pPr>
      <w:r>
        <w:t xml:space="preserve">September revenue outlook that remains meaningfully above typical seasonality.</w:t>
      </w:r>
    </w:p>
    <w:p>
      <w:pPr>
        <w:pStyle w:val="Compact"/>
        <w:numPr>
          <w:ilvl w:val="0"/>
          <w:numId w:val="1007"/>
        </w:numPr>
      </w:pPr>
      <w:r>
        <w:t xml:space="preserve">Gross margin above the 63.25% high end, or explicit evidence that underutilization charges are dropping quickly.</w:t>
      </w:r>
    </w:p>
    <w:p>
      <w:pPr>
        <w:pStyle w:val="Compact"/>
        <w:numPr>
          <w:ilvl w:val="0"/>
          <w:numId w:val="1007"/>
        </w:numPr>
      </w:pPr>
      <w:r>
        <w:t xml:space="preserve">Further reductions in internal inventory days toward the company’s</w:t>
      </w:r>
      <w:r>
        <w:t xml:space="preserve"> </w:t>
      </w:r>
      <w:r>
        <w:rPr>
          <w:b/>
          <w:bCs/>
        </w:rPr>
        <w:t xml:space="preserve">130–150 day</w:t>
      </w:r>
      <w:r>
        <w:t xml:space="preserve"> </w:t>
      </w:r>
      <w:r>
        <w:t xml:space="preserve">target.</w:t>
      </w:r>
    </w:p>
    <w:p>
      <w:pPr>
        <w:pStyle w:val="Compact"/>
        <w:numPr>
          <w:ilvl w:val="0"/>
          <w:numId w:val="1007"/>
        </w:numPr>
      </w:pPr>
      <w:r>
        <w:t xml:space="preserve">Distributor inventory remaining disciplined while sell-through and customer count grow.</w:t>
      </w:r>
    </w:p>
    <w:p>
      <w:pPr>
        <w:pStyle w:val="Compact"/>
        <w:numPr>
          <w:ilvl w:val="0"/>
          <w:numId w:val="1007"/>
        </w:numPr>
      </w:pPr>
      <w:r>
        <w:t xml:space="preserve">Confirmation that leverage has fallen below</w:t>
      </w:r>
      <w:r>
        <w:t xml:space="preserve"> </w:t>
      </w:r>
      <w:r>
        <w:rPr>
          <w:b/>
          <w:bCs/>
        </w:rPr>
        <w:t xml:space="preserve">3x</w:t>
      </w:r>
      <w:r>
        <w:t xml:space="preserve">.</w:t>
      </w:r>
    </w:p>
    <w:p>
      <w:pPr>
        <w:pStyle w:val="Compact"/>
        <w:numPr>
          <w:ilvl w:val="0"/>
          <w:numId w:val="1007"/>
        </w:numPr>
      </w:pPr>
      <w:r>
        <w:t xml:space="preserve">Further data-center design wins, production-ramp progress, or improved disclosure around data-center content.</w:t>
      </w:r>
    </w:p>
    <w:bookmarkEnd w:id="18"/>
    <w:bookmarkStart w:id="19" w:name="risks--potential-disappointments"/>
    <w:p>
      <w:pPr>
        <w:pStyle w:val="Heading3"/>
      </w:pPr>
      <w:r>
        <w:t xml:space="preserve">Risks / potential disappointments</w:t>
      </w:r>
    </w:p>
    <w:p>
      <w:pPr>
        <w:pStyle w:val="Compact"/>
        <w:numPr>
          <w:ilvl w:val="0"/>
          <w:numId w:val="1008"/>
        </w:numPr>
      </w:pPr>
      <w:r>
        <w:t xml:space="preserve">A September guide that implies a deceleration after the June restocking benefit.</w:t>
      </w:r>
    </w:p>
    <w:p>
      <w:pPr>
        <w:pStyle w:val="Compact"/>
        <w:numPr>
          <w:ilvl w:val="0"/>
          <w:numId w:val="1008"/>
        </w:numPr>
      </w:pPr>
      <w:r>
        <w:t xml:space="preserve">Gross-margin pressure from slower factory utilization recovery, unfavorable mix, or continued underutilization.</w:t>
      </w:r>
    </w:p>
    <w:p>
      <w:pPr>
        <w:pStyle w:val="Compact"/>
        <w:numPr>
          <w:ilvl w:val="0"/>
          <w:numId w:val="1008"/>
        </w:numPr>
      </w:pPr>
      <w:r>
        <w:t xml:space="preserve">Evidence that channel restocking is outpacing true demand.</w:t>
      </w:r>
    </w:p>
    <w:p>
      <w:pPr>
        <w:pStyle w:val="Compact"/>
        <w:numPr>
          <w:ilvl w:val="0"/>
          <w:numId w:val="1008"/>
        </w:numPr>
      </w:pPr>
      <w:r>
        <w:t xml:space="preserve">Persistent supply friction in substrates, foundry capacity, or outsourced assembly/test that constrains upside.</w:t>
      </w:r>
    </w:p>
    <w:p>
      <w:pPr>
        <w:pStyle w:val="Compact"/>
        <w:numPr>
          <w:ilvl w:val="0"/>
          <w:numId w:val="1008"/>
        </w:numPr>
      </w:pPr>
      <w:r>
        <w:t xml:space="preserve">Weaker-than-expected industrial or automotive recovery.</w:t>
      </w:r>
    </w:p>
    <w:p>
      <w:pPr>
        <w:pStyle w:val="Compact"/>
        <w:numPr>
          <w:ilvl w:val="0"/>
          <w:numId w:val="1008"/>
        </w:numPr>
      </w:pPr>
      <w:r>
        <w:t xml:space="preserve">Less favorable commentary around pricing, especially if rising input costs require price actions while Microchip prioritizes repairing customer relationships.</w:t>
      </w:r>
    </w:p>
    <w:p>
      <w:pPr>
        <w:pStyle w:val="Compact"/>
        <w:numPr>
          <w:ilvl w:val="0"/>
          <w:numId w:val="1008"/>
        </w:numPr>
      </w:pPr>
      <w:r>
        <w:t xml:space="preserve">Execution uncertainty from the departure of COO</w:t>
      </w:r>
      <w:r>
        <w:t xml:space="preserve"> </w:t>
      </w:r>
      <w:r>
        <w:rPr>
          <w:b/>
          <w:bCs/>
        </w:rPr>
        <w:t xml:space="preserve">Richard Simoncic</w:t>
      </w:r>
      <w:r>
        <w:t xml:space="preserve">, effective</w:t>
      </w:r>
      <w:r>
        <w:t xml:space="preserve"> </w:t>
      </w:r>
      <w:r>
        <w:rPr>
          <w:b/>
          <w:bCs/>
        </w:rPr>
        <w:t xml:space="preserve">August 17, 2026</w:t>
      </w:r>
      <w:r>
        <w:t xml:space="preserve">, to become CEO of Menlo Microsystems. The filing disclosed the departure but did not identify a successor, making succession and operational continuity fair call topics.</w:t>
      </w:r>
    </w:p>
    <w:bookmarkEnd w:id="19"/>
    <w:bookmarkEnd w:id="20"/>
    <w:bookmarkStart w:id="21" w:name="investment-view-into-earnings"/>
    <w:p>
      <w:pPr>
        <w:pStyle w:val="Heading2"/>
      </w:pPr>
      <w:r>
        <w:t xml:space="preserve">Investment view into earnings</w:t>
      </w:r>
    </w:p>
    <w:p>
      <w:pPr>
        <w:pStyle w:val="FirstParagraph"/>
      </w:pPr>
      <w:r>
        <w:t xml:space="preserve">Microchip appears to be in the</w:t>
      </w:r>
      <w:r>
        <w:t xml:space="preserve"> </w:t>
      </w:r>
      <w:r>
        <w:rPr>
          <w:b/>
          <w:bCs/>
        </w:rPr>
        <w:t xml:space="preserve">high-operating-leverage phase of a semiconductor recovery</w:t>
      </w:r>
      <w:r>
        <w:t xml:space="preserve">: revenue is growing, channel inventories have normalized, factory utilization is rising, and margins remain below the company’s longer-term model largely because utilization has not fully normalized. The fundamental debate is increasingly about the</w:t>
      </w:r>
      <w:r>
        <w:t xml:space="preserve"> </w:t>
      </w:r>
      <w:r>
        <w:rPr>
          <w:b/>
          <w:bCs/>
        </w:rPr>
        <w:t xml:space="preserve">duration and slope</w:t>
      </w:r>
      <w:r>
        <w:t xml:space="preserve"> </w:t>
      </w:r>
      <w:r>
        <w:t xml:space="preserve">of the recovery rather than whether a recovery is underway.</w:t>
      </w:r>
    </w:p>
    <w:p>
      <w:pPr>
        <w:pStyle w:val="BodyText"/>
      </w:pPr>
      <w:r>
        <w:t xml:space="preserve">A constructive outcome requires more than a June-quarter beat. Investors need management to demonstrate that:</w:t>
      </w:r>
    </w:p>
    <w:p>
      <w:pPr>
        <w:pStyle w:val="Compact"/>
        <w:numPr>
          <w:ilvl w:val="0"/>
          <w:numId w:val="1009"/>
        </w:numPr>
      </w:pPr>
      <w:r>
        <w:rPr>
          <w:b/>
          <w:bCs/>
        </w:rPr>
        <w:t xml:space="preserve">September demand remains strong;</w:t>
      </w:r>
    </w:p>
    <w:p>
      <w:pPr>
        <w:pStyle w:val="Compact"/>
        <w:numPr>
          <w:ilvl w:val="0"/>
          <w:numId w:val="1009"/>
        </w:numPr>
      </w:pPr>
      <w:r>
        <w:rPr>
          <w:b/>
          <w:bCs/>
        </w:rPr>
        <w:t xml:space="preserve">the revenue recovery is broad-based rather than channel-driven;</w:t>
      </w:r>
    </w:p>
    <w:p>
      <w:pPr>
        <w:pStyle w:val="Compact"/>
        <w:numPr>
          <w:ilvl w:val="0"/>
          <w:numId w:val="1009"/>
        </w:numPr>
      </w:pPr>
      <w:r>
        <w:rPr>
          <w:b/>
          <w:bCs/>
        </w:rPr>
        <w:t xml:space="preserve">gross margin can continue toward 65%;</w:t>
      </w:r>
      <w:r>
        <w:t xml:space="preserve"> </w:t>
      </w:r>
      <w:r>
        <w:t xml:space="preserve">and</w:t>
      </w:r>
    </w:p>
    <w:p>
      <w:pPr>
        <w:pStyle w:val="Compact"/>
        <w:numPr>
          <w:ilvl w:val="0"/>
          <w:numId w:val="1009"/>
        </w:numPr>
      </w:pPr>
      <w:r>
        <w:rPr>
          <w:b/>
          <w:bCs/>
        </w:rPr>
        <w:t xml:space="preserve">cash generation is translating into faster deleveraging.</w:t>
      </w:r>
    </w:p>
    <w:p>
      <w:pPr>
        <w:pStyle w:val="FirstParagraph"/>
      </w:pPr>
      <w:r>
        <w:t xml:space="preserve">If Microchip delivers those signals, the report should reinforce the case for further earnings-power normalization. If the company merely meets June guidance but offers muted September commentary, investors may view the recent recovery as increasingly reflected in expectations and shift focus back to cycle risk, leverage, and execution.</w:t>
      </w:r>
    </w:p>
    <w:p>
      <w:pPr>
        <w:pStyle w:val="BodyText"/>
      </w:pPr>
      <w:r>
        <w:rPr>
          <w:i/>
          <w:iCs/>
        </w:rPr>
        <w:t xml:space="preserve">Source basis: Microchip’s May 7, 2026 fiscal Q4 earnings release and conference call; July 24, 2026 Form 8-K; and historical share-price data through August 5, 2026.</w:t>
      </w:r>
    </w:p>
    <w:bookmarkEnd w:id="21"/>
    <w:bookmarkEnd w:id="2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2026-08-06T01:03:27Z</dcterms:created>
  <dcterms:modified xsi:type="dcterms:W3CDTF">2026-08-06T01:03:27Z</dcterms:modified>
</cp:coreProperties>
</file>

<file path=docProps/custom.xml><?xml version="1.0" encoding="utf-8"?>
<Properties xmlns="http://schemas.openxmlformats.org/officeDocument/2006/custom-properties" xmlns:vt="http://schemas.openxmlformats.org/officeDocument/2006/docPropsVTypes"/>
</file>