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Microchip Technology (MCHP)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Microchip Technology Incorporated</w:t>
            </w:r>
          </w:p>
        </w:tc>
      </w:tr>
      <w:tr>
        <w:tc>
          <w:tcPr>
            <w:tcW w:type="dxa" w:w="4320"/>
          </w:tcPr>
          <w:p>
            <w:r>
              <w:rPr>
                <w:rFonts w:ascii="Calibri" w:hAnsi="Calibri"/>
                <w:b/>
                <w:sz w:val="22"/>
              </w:rPr>
              <w:t>Ticker</w:t>
            </w:r>
          </w:p>
        </w:tc>
        <w:tc>
          <w:tcPr>
            <w:tcW w:type="dxa" w:w="4320"/>
          </w:tcPr>
          <w:p>
            <w:r>
              <w:rPr>
                <w:rFonts w:ascii="Calibri" w:hAnsi="Calibri"/>
                <w:sz w:val="22"/>
              </w:rPr>
              <w:t>MCHP (NASDAQ)</w:t>
            </w:r>
          </w:p>
        </w:tc>
      </w:tr>
      <w:tr>
        <w:tc>
          <w:tcPr>
            <w:tcW w:type="dxa" w:w="4320"/>
          </w:tcPr>
          <w:p>
            <w:r>
              <w:rPr>
                <w:rFonts w:ascii="Calibri" w:hAnsi="Calibri"/>
                <w:b/>
                <w:sz w:val="22"/>
              </w:rPr>
              <w:t>Reporting Period</w:t>
            </w:r>
          </w:p>
        </w:tc>
        <w:tc>
          <w:tcPr>
            <w:tcW w:type="dxa" w:w="4320"/>
          </w:tcPr>
          <w:p>
            <w:r>
              <w:rPr>
                <w:rFonts w:ascii="Calibri" w:hAnsi="Calibri"/>
                <w:sz w:val="22"/>
              </w:rPr>
              <w:t>1Q FY2027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iShares Semiconductor ETF (SOXX)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is a manageable bar after the strong Q4 FY2026 beat, and the single biggest swing factor is whether </w:t>
      </w:r>
      <w:r>
        <w:rPr>
          <w:rFonts w:ascii="Calibri" w:hAnsi="Calibri"/>
          <w:b/>
          <w:color w:val="525866"/>
          <w:sz w:val="22"/>
        </w:rPr>
        <w:t>PCIe Gen 6 production ramp and data center momentum</w:t>
      </w:r>
      <w:r>
        <w:rPr>
          <w:rFonts w:ascii="Calibri" w:hAnsi="Calibri"/>
          <w:color w:val="525866"/>
          <w:sz w:val="22"/>
        </w:rPr>
        <w:t xml:space="preserve"> can offset any softness in legacy end markets and validate the accelerating revenue trajectory management has signaled.</w:t>
      </w:r>
    </w:p>
    <w:p>
      <w:r>
        <w:rPr>
          <w:rFonts w:ascii="Calibri" w:hAnsi="Calibri"/>
          <w:color w:val="525866"/>
          <w:sz w:val="22"/>
        </w:rPr>
        <w:t xml:space="preserve">Heading into the 1Q FY2027 print, MCHP's setup is the most constructive it has been in several years. The company guided June-quarter revenue up ~11% sequentially (plus or minus 1%), representing ~35% year-over-year growth, with non-GAAP EPS guided to $0.67–$0.71 — a bar that consensus has largely converged to ($0.70 current estimate). The key question is not whether MCHP beats the quarter, but whether management can sustain the narrative of </w:t>
      </w:r>
      <w:r>
        <w:rPr>
          <w:rFonts w:ascii="Calibri" w:hAnsi="Calibri"/>
          <w:b/>
          <w:color w:val="525866"/>
          <w:sz w:val="22"/>
        </w:rPr>
        <w:t>innovation-driven growth replacing inventory-depletion-driven growth</w:t>
      </w:r>
      <w:r>
        <w:rPr>
          <w:rFonts w:ascii="Calibri" w:hAnsi="Calibri"/>
          <w:color w:val="525866"/>
          <w:sz w:val="22"/>
        </w:rPr>
        <w:t xml:space="preserve"> — specifically, whether PCIe Gen 6 production ramp (8 design wins, one worth &gt;$100M/year in production) and data center solutions growth toward $500M in calendar 2026 are on track. Estimate revisions have moved sharply higher since the May 7 earnings beat (1Q FY2027 EPS consensus up from $0.38 to $0.70), suggesting the Street has already re-rated the story, which raises the bar for a positive surprise. The stock has given back roughly 23% from its post-earnings peak (~$103) to ~$80 as of August 4, underperforming SOXX over the same window, creating a more attractive entry but also reflecting investor skepticism about the pace of the PCIe ramp and the COO departure announced July 23. The wildcard is </w:t>
      </w:r>
      <w:r>
        <w:rPr>
          <w:rFonts w:ascii="Calibri" w:hAnsi="Calibri"/>
          <w:b/>
          <w:color w:val="525866"/>
          <w:sz w:val="22"/>
        </w:rPr>
        <w:t>supply constraint breadth</w:t>
      </w:r>
      <w:r>
        <w:rPr>
          <w:rFonts w:ascii="Calibri" w:hAnsi="Calibri"/>
          <w:color w:val="525866"/>
          <w:sz w:val="22"/>
        </w:rPr>
        <w:t>: management warned that lead times are extending broadly across 70–80% of foundry nodes and substrates are tight — if this is translating into delinquencies or customer frustration rather than pricing power, it could cloud the otherwise positive demand narrative.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 EPS of $0.70 sits near the top of guidance ($0.67–$0.71), leaving limited room for upside surprise on the bottom line. Revenue at $1.457B is the bigger swing factor: any upside driven by PCIe Gen 6 initial shipments or stronger-than-expected distribution restocking would be the key positive catalyst.</w:t>
      </w:r>
    </w:p>
    <w:p>
      <w:pPr>
        <w:pStyle w:val="Heading2"/>
      </w:pPr>
      <w:r>
        <w:rPr>
          <w:rFonts w:ascii="Calibri" w:hAnsi="Calibri"/>
          <w:b/>
          <w:color w:val="3B4259"/>
          <w:sz w:val="28"/>
        </w:rPr>
        <w:t>Table 1 — Current Quarter Snapshot (1Q FY2027,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(4Q FY2026, Mar-26)</w:t>
            </w:r>
          </w:p>
        </w:tc>
        <w:tc>
          <w:tcPr>
            <w:tcW w:type="dxa" w:w="1234"/>
            <w:shd w:val="clear" w:color="auto" w:fill="3B4259"/>
          </w:tcPr>
          <w:p>
            <w:r>
              <w:rPr>
                <w:rFonts w:ascii="Calibri" w:hAnsi="Calibri"/>
                <w:b/>
                <w:color w:val="FFFFFF"/>
                <w:sz w:val="22"/>
              </w:rPr>
              <w:t>Prior Year Period (1Q FY2026, Jun-25)</w:t>
            </w:r>
          </w:p>
        </w:tc>
        <w:tc>
          <w:tcPr>
            <w:tcW w:type="dxa" w:w="1234"/>
            <w:shd w:val="clear" w:color="auto" w:fill="3B4259"/>
          </w:tcPr>
          <w:p>
            <w:r>
              <w:rPr>
                <w:rFonts w:ascii="Calibri" w:hAnsi="Calibri"/>
                <w:b/>
                <w:color w:val="FFFFFF"/>
                <w:sz w:val="22"/>
              </w:rPr>
              <w:t>Consensus Estimate (1Q FY2027)</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(May 7,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(Sales)</w:t>
            </w:r>
          </w:p>
        </w:tc>
        <w:tc>
          <w:tcPr>
            <w:tcW w:type="dxa" w:w="1234"/>
          </w:tcPr>
          <w:p>
            <w:r>
              <w:rPr>
                <w:rFonts w:ascii="Calibri" w:hAnsi="Calibri"/>
                <w:sz w:val="22"/>
              </w:rPr>
              <w:t>$1,311M</w:t>
            </w:r>
          </w:p>
        </w:tc>
        <w:tc>
          <w:tcPr>
            <w:tcW w:type="dxa" w:w="1234"/>
          </w:tcPr>
          <w:p>
            <w:r>
              <w:rPr>
                <w:rFonts w:ascii="Calibri" w:hAnsi="Calibri"/>
                <w:sz w:val="22"/>
              </w:rPr>
              <w:t>$1,140M</w:t>
            </w:r>
          </w:p>
        </w:tc>
        <w:tc>
          <w:tcPr>
            <w:tcW w:type="dxa" w:w="1234"/>
          </w:tcPr>
          <w:p>
            <w:r>
              <w:rPr>
                <w:rFonts w:ascii="Calibri" w:hAnsi="Calibri"/>
                <w:sz w:val="22"/>
              </w:rPr>
              <w:t>$1,457M</w:t>
            </w:r>
          </w:p>
        </w:tc>
        <w:tc>
          <w:tcPr>
            <w:tcW w:type="dxa" w:w="1234"/>
          </w:tcPr>
          <w:p>
            <w:r>
              <w:rPr>
                <w:rFonts w:ascii="Calibri" w:hAnsi="Calibri"/>
                <w:b/>
                <w:color w:val="30A46C"/>
                <w:sz w:val="22"/>
              </w:rPr>
              <w:t>+27.8% YoY</w:t>
            </w:r>
          </w:p>
        </w:tc>
        <w:tc>
          <w:tcPr>
            <w:tcW w:type="dxa" w:w="1234"/>
          </w:tcPr>
          <w:p>
            <w:r>
              <w:rPr>
                <w:rFonts w:ascii="Calibri" w:hAnsi="Calibri"/>
                <w:sz w:val="22"/>
              </w:rPr>
              <w:t>Up ~11% seq. (±1%); ~$1,455M midpoint</w:t>
            </w:r>
          </w:p>
        </w:tc>
        <w:tc>
          <w:tcPr>
            <w:tcW w:type="dxa" w:w="1234"/>
          </w:tcPr>
          <w:p>
            <w:r>
              <w:rPr>
                <w:rFonts w:ascii="Calibri" w:hAnsi="Calibri"/>
                <w:sz w:val="22"/>
              </w:rPr>
              <w:t>+0.1%</w:t>
            </w:r>
          </w:p>
        </w:tc>
      </w:tr>
      <w:tr>
        <w:tc>
          <w:tcPr>
            <w:tcW w:type="dxa" w:w="1234"/>
          </w:tcPr>
          <w:p>
            <w:r>
              <w:rPr>
                <w:rFonts w:ascii="Calibri" w:hAnsi="Calibri"/>
                <w:sz w:val="22"/>
              </w:rPr>
              <w:t>Non-GAAP EPS (Diluted - Operating)</w:t>
            </w:r>
          </w:p>
        </w:tc>
        <w:tc>
          <w:tcPr>
            <w:tcW w:type="dxa" w:w="1234"/>
          </w:tcPr>
          <w:p>
            <w:r>
              <w:rPr>
                <w:rFonts w:ascii="Calibri" w:hAnsi="Calibri"/>
                <w:sz w:val="22"/>
              </w:rPr>
              <w:t>$0.57</w:t>
            </w:r>
          </w:p>
        </w:tc>
        <w:tc>
          <w:tcPr>
            <w:tcW w:type="dxa" w:w="1234"/>
          </w:tcPr>
          <w:p>
            <w:r>
              <w:rPr>
                <w:rFonts w:ascii="Calibri" w:hAnsi="Calibri"/>
                <w:sz w:val="22"/>
              </w:rPr>
              <w:t>$0.35</w:t>
            </w:r>
          </w:p>
        </w:tc>
        <w:tc>
          <w:tcPr>
            <w:tcW w:type="dxa" w:w="1234"/>
          </w:tcPr>
          <w:p>
            <w:r>
              <w:rPr>
                <w:rFonts w:ascii="Calibri" w:hAnsi="Calibri"/>
                <w:sz w:val="22"/>
              </w:rPr>
              <w:t>$0.70</w:t>
            </w:r>
          </w:p>
        </w:tc>
        <w:tc>
          <w:tcPr>
            <w:tcW w:type="dxa" w:w="1234"/>
          </w:tcPr>
          <w:p>
            <w:r>
              <w:rPr>
                <w:rFonts w:ascii="Calibri" w:hAnsi="Calibri"/>
                <w:b/>
                <w:color w:val="30A46C"/>
                <w:sz w:val="22"/>
              </w:rPr>
              <w:t>+100% YoY</w:t>
            </w:r>
          </w:p>
        </w:tc>
        <w:tc>
          <w:tcPr>
            <w:tcW w:type="dxa" w:w="1234"/>
          </w:tcPr>
          <w:p>
            <w:r>
              <w:rPr>
                <w:rFonts w:ascii="Calibri" w:hAnsi="Calibri"/>
                <w:sz w:val="22"/>
              </w:rPr>
              <w:t>$0.67–$0.71 ($0.69 midpoint)</w:t>
            </w:r>
          </w:p>
        </w:tc>
        <w:tc>
          <w:tcPr>
            <w:tcW w:type="dxa" w:w="1234"/>
          </w:tcPr>
          <w:p>
            <w:r>
              <w:rPr>
                <w:rFonts w:ascii="Calibri" w:hAnsi="Calibri"/>
                <w:sz w:val="22"/>
              </w:rPr>
              <w:t>+1.4%</w:t>
            </w:r>
          </w:p>
        </w:tc>
      </w:tr>
      <w:tr>
        <w:tc>
          <w:tcPr>
            <w:tcW w:type="dxa" w:w="1234"/>
          </w:tcPr>
          <w:p>
            <w:r>
              <w:rPr>
                <w:rFonts w:ascii="Calibri" w:hAnsi="Calibri"/>
                <w:sz w:val="22"/>
              </w:rPr>
              <w:t>Non-GAAP Gross Profit</w:t>
            </w:r>
          </w:p>
        </w:tc>
        <w:tc>
          <w:tcPr>
            <w:tcW w:type="dxa" w:w="1234"/>
          </w:tcPr>
          <w:p>
            <w:r>
              <w:rPr>
                <w:rFonts w:ascii="Calibri" w:hAnsi="Calibri"/>
                <w:sz w:val="22"/>
              </w:rPr>
              <w:t>$808M (61.6%)</w:t>
            </w:r>
          </w:p>
        </w:tc>
        <w:tc>
          <w:tcPr>
            <w:tcW w:type="dxa" w:w="1234"/>
          </w:tcPr>
          <w:p>
            <w:r>
              <w:rPr>
                <w:rFonts w:ascii="Calibri" w:hAnsi="Calibri"/>
                <w:sz w:val="22"/>
              </w:rPr>
              <w:t>$646M (56.6%)</w:t>
            </w:r>
          </w:p>
        </w:tc>
        <w:tc>
          <w:tcPr>
            <w:tcW w:type="dxa" w:w="1234"/>
          </w:tcPr>
          <w:p>
            <w:r>
              <w:rPr>
                <w:rFonts w:ascii="Calibri" w:hAnsi="Calibri"/>
                <w:sz w:val="22"/>
              </w:rPr>
              <w:t>$916M (~62.9%)</w:t>
            </w:r>
          </w:p>
        </w:tc>
        <w:tc>
          <w:tcPr>
            <w:tcW w:type="dxa" w:w="1234"/>
          </w:tcPr>
          <w:p>
            <w:r>
              <w:rPr>
                <w:rFonts w:ascii="Calibri" w:hAnsi="Calibri"/>
                <w:b/>
                <w:color w:val="30A46C"/>
                <w:sz w:val="22"/>
              </w:rPr>
              <w:t>+41.8% YoY</w:t>
            </w:r>
          </w:p>
        </w:tc>
        <w:tc>
          <w:tcPr>
            <w:tcW w:type="dxa" w:w="1234"/>
          </w:tcPr>
          <w:p>
            <w:r>
              <w:rPr>
                <w:rFonts w:ascii="Calibri" w:hAnsi="Calibri"/>
                <w:sz w:val="22"/>
              </w:rPr>
              <w:t>62.25%–63.25% (62.75% midpoint)</w:t>
            </w:r>
          </w:p>
        </w:tc>
        <w:tc>
          <w:tcPr>
            <w:tcW w:type="dxa" w:w="1234"/>
          </w:tcPr>
          <w:p>
            <w:r>
              <w:rPr>
                <w:rFonts w:ascii="Calibri" w:hAnsi="Calibri"/>
                <w:sz w:val="22"/>
              </w:rPr>
              <w:t>+0.2pp vs. midpoint</w:t>
            </w:r>
          </w:p>
        </w:tc>
      </w:tr>
      <w:tr>
        <w:tc>
          <w:tcPr>
            <w:tcW w:type="dxa" w:w="1234"/>
          </w:tcPr>
          <w:p>
            <w:r>
              <w:rPr>
                <w:rFonts w:ascii="Calibri" w:hAnsi="Calibri"/>
                <w:sz w:val="22"/>
              </w:rPr>
              <w:t>Non-GAAP Operating Income</w:t>
            </w:r>
          </w:p>
        </w:tc>
        <w:tc>
          <w:tcPr>
            <w:tcW w:type="dxa" w:w="1234"/>
          </w:tcPr>
          <w:p>
            <w:r>
              <w:rPr>
                <w:rFonts w:ascii="Calibri" w:hAnsi="Calibri"/>
                <w:sz w:val="22"/>
              </w:rPr>
              <w:t>$401M (30.6%)</w:t>
            </w:r>
          </w:p>
        </w:tc>
        <w:tc>
          <w:tcPr>
            <w:tcW w:type="dxa" w:w="1234"/>
          </w:tcPr>
          <w:p>
            <w:r>
              <w:rPr>
                <w:rFonts w:ascii="Calibri" w:hAnsi="Calibri"/>
                <w:sz w:val="22"/>
              </w:rPr>
              <w:t>$277M (24.3%)</w:t>
            </w:r>
          </w:p>
        </w:tc>
        <w:tc>
          <w:tcPr>
            <w:tcW w:type="dxa" w:w="1234"/>
          </w:tcPr>
          <w:p>
            <w:r>
              <w:rPr>
                <w:rFonts w:ascii="Calibri" w:hAnsi="Calibri"/>
                <w:sz w:val="22"/>
              </w:rPr>
              <w:t>$494M (~33.9%)</w:t>
            </w:r>
          </w:p>
        </w:tc>
        <w:tc>
          <w:tcPr>
            <w:tcW w:type="dxa" w:w="1234"/>
          </w:tcPr>
          <w:p>
            <w:r>
              <w:rPr>
                <w:rFonts w:ascii="Calibri" w:hAnsi="Calibri"/>
                <w:b/>
                <w:color w:val="30A46C"/>
                <w:sz w:val="22"/>
              </w:rPr>
              <w:t>+78.3% YoY</w:t>
            </w:r>
          </w:p>
        </w:tc>
        <w:tc>
          <w:tcPr>
            <w:tcW w:type="dxa" w:w="1234"/>
          </w:tcPr>
          <w:p>
            <w:r>
              <w:rPr>
                <w:rFonts w:ascii="Calibri" w:hAnsi="Calibri"/>
                <w:sz w:val="22"/>
              </w:rPr>
              <w:t>33.0%–34.5% (33.75% midpoint)</w:t>
            </w:r>
          </w:p>
        </w:tc>
        <w:tc>
          <w:tcPr>
            <w:tcW w:type="dxa" w:w="1234"/>
          </w:tcPr>
          <w:p>
            <w:r>
              <w:rPr>
                <w:rFonts w:ascii="Calibri" w:hAnsi="Calibri"/>
                <w:sz w:val="22"/>
              </w:rPr>
              <w:t>+0.2pp vs. midpoint</w:t>
            </w:r>
          </w:p>
        </w:tc>
      </w:tr>
      <w:tr>
        <w:tc>
          <w:tcPr>
            <w:tcW w:type="dxa" w:w="1234"/>
          </w:tcPr>
          <w:p>
            <w:r>
              <w:rPr>
                <w:rFonts w:ascii="Calibri" w:hAnsi="Calibri"/>
                <w:sz w:val="22"/>
              </w:rPr>
              <w:t>Non-GAAP Operating Expenses (% of Sales)</w:t>
            </w:r>
          </w:p>
        </w:tc>
        <w:tc>
          <w:tcPr>
            <w:tcW w:type="dxa" w:w="1234"/>
          </w:tcPr>
          <w:p>
            <w:r>
              <w:rPr>
                <w:rFonts w:ascii="Calibri" w:hAnsi="Calibri"/>
                <w:sz w:val="22"/>
              </w:rPr>
              <w:t>31.0%</w:t>
            </w:r>
          </w:p>
        </w:tc>
        <w:tc>
          <w:tcPr>
            <w:tcW w:type="dxa" w:w="1234"/>
          </w:tcPr>
          <w:p>
            <w:r>
              <w:rPr>
                <w:rFonts w:ascii="Calibri" w:hAnsi="Calibri"/>
                <w:sz w:val="22"/>
              </w:rPr>
              <w:t>32.3%</w:t>
            </w:r>
          </w:p>
        </w:tc>
        <w:tc>
          <w:tcPr>
            <w:tcW w:type="dxa" w:w="1234"/>
          </w:tcPr>
          <w:p>
            <w:r>
              <w:rPr>
                <w:rFonts w:ascii="Calibri" w:hAnsi="Calibri"/>
                <w:sz w:val="22"/>
              </w:rPr>
              <w:t>~29.0%</w:t>
            </w:r>
          </w:p>
        </w:tc>
        <w:tc>
          <w:tcPr>
            <w:tcW w:type="dxa" w:w="1234"/>
          </w:tcPr>
          <w:p>
            <w:r>
              <w:rPr>
                <w:rFonts w:ascii="Calibri" w:hAnsi="Calibri"/>
                <w:b/>
                <w:color w:val="30A46C"/>
                <w:sz w:val="22"/>
              </w:rPr>
              <w:t>-330bps YoY</w:t>
            </w:r>
          </w:p>
        </w:tc>
        <w:tc>
          <w:tcPr>
            <w:tcW w:type="dxa" w:w="1234"/>
          </w:tcPr>
          <w:p>
            <w:r>
              <w:rPr>
                <w:rFonts w:ascii="Calibri" w:hAnsi="Calibri"/>
                <w:sz w:val="22"/>
              </w:rPr>
              <w:t>28.75%–29.25% (29.0% midpoint)</w:t>
            </w:r>
          </w:p>
        </w:tc>
        <w:tc>
          <w:tcPr>
            <w:tcW w:type="dxa" w:w="1234"/>
          </w:tcPr>
          <w:p>
            <w:r>
              <w:rPr>
                <w:rFonts w:ascii="Calibri" w:hAnsi="Calibri"/>
                <w:sz w:val="22"/>
              </w:rPr>
              <w:t>At midpoint</w:t>
            </w:r>
          </w:p>
        </w:tc>
      </w:tr>
    </w:tbl>
    <w:p>
      <w:r>
        <w:rPr>
          <w:rFonts w:ascii="Calibri" w:hAnsi="Calibri"/>
          <w:b/>
          <w:color w:val="525866"/>
          <w:sz w:val="22"/>
        </w:rPr>
        <w:t xml:space="preserve">Sources: </w:t>
      </w:r>
      <w:r>
        <w:rPr>
          <w:rFonts w:ascii="Calibri" w:hAnsi="Calibri"/>
          <w:color w:val="525866"/>
          <w:sz w:val="22"/>
        </w:rPr>
        <w:t>Visible Alpha Consensus and Actuals Data (Sales, EPS – Diluted – Operating, Gross profit/(loss) – Operating, Operating income/(loss) – Operating). Guidance from MCHP Q4 FY2026 Earnings Call, May 7, 2026. Note: Segment revenue KPIs (Automotive, Industrial incl. A&amp;D, Data Center) not available in Visible Alpha for this ticker.</w:t>
      </w:r>
    </w:p>
    <w:p>
      <w:pPr>
        <w:pStyle w:val="Heading2"/>
      </w:pPr>
      <w:r>
        <w:rPr>
          <w:rFonts w:ascii="Calibri" w:hAnsi="Calibri"/>
          <w:b/>
          <w:color w:val="3B4259"/>
          <w:sz w:val="28"/>
        </w:rPr>
        <w:t>Table 2 — Beat/Miss History (Last 8 Quarters, Top 2 KPIs: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4Q FY2026 (Mar-26)</w:t>
            </w:r>
          </w:p>
        </w:tc>
        <w:tc>
          <w:tcPr>
            <w:tcW w:type="dxa" w:w="1440"/>
          </w:tcPr>
          <w:p>
            <w:r>
              <w:rPr>
                <w:rFonts w:ascii="Calibri" w:hAnsi="Calibri"/>
                <w:sz w:val="22"/>
              </w:rPr>
              <w:t>Revenue</w:t>
            </w:r>
          </w:p>
        </w:tc>
        <w:tc>
          <w:tcPr>
            <w:tcW w:type="dxa" w:w="1440"/>
          </w:tcPr>
          <w:p>
            <w:r>
              <w:rPr>
                <w:rFonts w:ascii="Calibri" w:hAnsi="Calibri"/>
                <w:sz w:val="22"/>
              </w:rPr>
              <w:t>$1,311M</w:t>
            </w:r>
          </w:p>
        </w:tc>
        <w:tc>
          <w:tcPr>
            <w:tcW w:type="dxa" w:w="1440"/>
          </w:tcPr>
          <w:p>
            <w:r>
              <w:rPr>
                <w:rFonts w:ascii="Calibri" w:hAnsi="Calibri"/>
                <w:sz w:val="22"/>
              </w:rPr>
              <w:t>$1,263M</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4Q FY2026 (Mar-26)</w:t>
            </w:r>
          </w:p>
        </w:tc>
        <w:tc>
          <w:tcPr>
            <w:tcW w:type="dxa" w:w="1440"/>
          </w:tcPr>
          <w:p>
            <w:r>
              <w:rPr>
                <w:rFonts w:ascii="Calibri" w:hAnsi="Calibri"/>
                <w:sz w:val="22"/>
              </w:rPr>
              <w:t>Non-GAAP EPS</w:t>
            </w:r>
          </w:p>
        </w:tc>
        <w:tc>
          <w:tcPr>
            <w:tcW w:type="dxa" w:w="1440"/>
          </w:tcPr>
          <w:p>
            <w:r>
              <w:rPr>
                <w:rFonts w:ascii="Calibri" w:hAnsi="Calibri"/>
                <w:sz w:val="22"/>
              </w:rPr>
              <w:t>$0.57</w:t>
            </w:r>
          </w:p>
        </w:tc>
        <w:tc>
          <w:tcPr>
            <w:tcW w:type="dxa" w:w="1440"/>
          </w:tcPr>
          <w:p>
            <w:r>
              <w:rPr>
                <w:rFonts w:ascii="Calibri" w:hAnsi="Calibri"/>
                <w:sz w:val="22"/>
              </w:rPr>
              <w:t>$0.51</w:t>
            </w:r>
          </w:p>
        </w:tc>
        <w:tc>
          <w:tcPr>
            <w:tcW w:type="dxa" w:w="1440"/>
          </w:tcPr>
          <w:p>
            <w:r>
              <w:rPr>
                <w:rFonts w:ascii="Calibri" w:hAnsi="Calibri"/>
                <w:b/>
                <w:color w:val="30A46C"/>
                <w:sz w:val="22"/>
              </w:rPr>
              <w:t>+11.8%</w:t>
            </w:r>
          </w:p>
        </w:tc>
        <w:tc>
          <w:tcPr>
            <w:tcW w:type="dxa" w:w="1440"/>
          </w:tcPr>
          <w:p>
            <w:r>
              <w:rPr>
                <w:rFonts w:ascii="Calibri" w:hAnsi="Calibri"/>
                <w:sz w:val="22"/>
              </w:rPr>
              <w:t>Beat</w:t>
            </w:r>
          </w:p>
        </w:tc>
      </w:tr>
      <w:tr>
        <w:tc>
          <w:tcPr>
            <w:tcW w:type="dxa" w:w="1440"/>
          </w:tcPr>
          <w:p>
            <w:r>
              <w:rPr>
                <w:rFonts w:ascii="Calibri" w:hAnsi="Calibri"/>
                <w:sz w:val="22"/>
              </w:rPr>
              <w:t>3Q FY2026 (Dec-25)</w:t>
            </w:r>
          </w:p>
        </w:tc>
        <w:tc>
          <w:tcPr>
            <w:tcW w:type="dxa" w:w="1440"/>
          </w:tcPr>
          <w:p>
            <w:r>
              <w:rPr>
                <w:rFonts w:ascii="Calibri" w:hAnsi="Calibri"/>
                <w:sz w:val="22"/>
              </w:rPr>
              <w:t>Revenue</w:t>
            </w:r>
          </w:p>
        </w:tc>
        <w:tc>
          <w:tcPr>
            <w:tcW w:type="dxa" w:w="1440"/>
          </w:tcPr>
          <w:p>
            <w:r>
              <w:rPr>
                <w:rFonts w:ascii="Calibri" w:hAnsi="Calibri"/>
                <w:sz w:val="22"/>
              </w:rPr>
              <w:t>$1,186M</w:t>
            </w:r>
          </w:p>
        </w:tc>
        <w:tc>
          <w:tcPr>
            <w:tcW w:type="dxa" w:w="1440"/>
          </w:tcPr>
          <w:p>
            <w:r>
              <w:rPr>
                <w:rFonts w:ascii="Calibri" w:hAnsi="Calibri"/>
                <w:sz w:val="22"/>
              </w:rPr>
              <w:t>$1,185M</w:t>
            </w:r>
          </w:p>
        </w:tc>
        <w:tc>
          <w:tcPr>
            <w:tcW w:type="dxa" w:w="1440"/>
          </w:tcPr>
          <w:p>
            <w:r>
              <w:rPr>
                <w:rFonts w:ascii="Calibri" w:hAnsi="Calibri"/>
                <w:sz w:val="22"/>
              </w:rPr>
              <w:t>+0.1%</w:t>
            </w:r>
          </w:p>
        </w:tc>
        <w:tc>
          <w:tcPr>
            <w:tcW w:type="dxa" w:w="1440"/>
          </w:tcPr>
          <w:p>
            <w:r>
              <w:rPr>
                <w:rFonts w:ascii="Calibri" w:hAnsi="Calibri"/>
                <w:sz w:val="22"/>
              </w:rPr>
              <w:t>In-Line</w:t>
            </w:r>
          </w:p>
        </w:tc>
      </w:tr>
      <w:tr>
        <w:tc>
          <w:tcPr>
            <w:tcW w:type="dxa" w:w="1440"/>
          </w:tcPr>
          <w:p>
            <w:r>
              <w:rPr>
                <w:rFonts w:ascii="Calibri" w:hAnsi="Calibri"/>
                <w:sz w:val="22"/>
              </w:rPr>
              <w:t>3Q FY2026 (Dec-25)</w:t>
            </w:r>
          </w:p>
        </w:tc>
        <w:tc>
          <w:tcPr>
            <w:tcW w:type="dxa" w:w="1440"/>
          </w:tcPr>
          <w:p>
            <w:r>
              <w:rPr>
                <w:rFonts w:ascii="Calibri" w:hAnsi="Calibri"/>
                <w:sz w:val="22"/>
              </w:rPr>
              <w:t>Non-GAAP EPS</w:t>
            </w:r>
          </w:p>
        </w:tc>
        <w:tc>
          <w:tcPr>
            <w:tcW w:type="dxa" w:w="1440"/>
          </w:tcPr>
          <w:p>
            <w:r>
              <w:rPr>
                <w:rFonts w:ascii="Calibri" w:hAnsi="Calibri"/>
                <w:sz w:val="22"/>
              </w:rPr>
              <w:t>$0.44</w:t>
            </w:r>
          </w:p>
        </w:tc>
        <w:tc>
          <w:tcPr>
            <w:tcW w:type="dxa" w:w="1440"/>
          </w:tcPr>
          <w:p>
            <w:r>
              <w:rPr>
                <w:rFonts w:ascii="Calibri" w:hAnsi="Calibri"/>
                <w:sz w:val="22"/>
              </w:rPr>
              <w:t>$0.42</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2Q FY2026 (Sep-25)</w:t>
            </w:r>
          </w:p>
        </w:tc>
        <w:tc>
          <w:tcPr>
            <w:tcW w:type="dxa" w:w="1440"/>
          </w:tcPr>
          <w:p>
            <w:r>
              <w:rPr>
                <w:rFonts w:ascii="Calibri" w:hAnsi="Calibri"/>
                <w:sz w:val="22"/>
              </w:rPr>
              <w:t>Revenue</w:t>
            </w:r>
          </w:p>
        </w:tc>
        <w:tc>
          <w:tcPr>
            <w:tcW w:type="dxa" w:w="1440"/>
          </w:tcPr>
          <w:p>
            <w:r>
              <w:rPr>
                <w:rFonts w:ascii="Calibri" w:hAnsi="Calibri"/>
                <w:sz w:val="22"/>
              </w:rPr>
              <w:t>$1,140M</w:t>
            </w:r>
          </w:p>
        </w:tc>
        <w:tc>
          <w:tcPr>
            <w:tcW w:type="dxa" w:w="1440"/>
          </w:tcPr>
          <w:p>
            <w:r>
              <w:rPr>
                <w:rFonts w:ascii="Calibri" w:hAnsi="Calibri"/>
                <w:sz w:val="22"/>
              </w:rPr>
              <w:t>$1,137M</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2Q FY2026 (Sep-25)</w:t>
            </w:r>
          </w:p>
        </w:tc>
        <w:tc>
          <w:tcPr>
            <w:tcW w:type="dxa" w:w="1440"/>
          </w:tcPr>
          <w:p>
            <w:r>
              <w:rPr>
                <w:rFonts w:ascii="Calibri" w:hAnsi="Calibri"/>
                <w:sz w:val="22"/>
              </w:rPr>
              <w:t>Non-GAAP EPS</w:t>
            </w:r>
          </w:p>
        </w:tc>
        <w:tc>
          <w:tcPr>
            <w:tcW w:type="dxa" w:w="1440"/>
          </w:tcPr>
          <w:p>
            <w:r>
              <w:rPr>
                <w:rFonts w:ascii="Calibri" w:hAnsi="Calibri"/>
                <w:sz w:val="22"/>
              </w:rPr>
              <w:t>$0.35</w:t>
            </w:r>
          </w:p>
        </w:tc>
        <w:tc>
          <w:tcPr>
            <w:tcW w:type="dxa" w:w="1440"/>
          </w:tcPr>
          <w:p>
            <w:r>
              <w:rPr>
                <w:rFonts w:ascii="Calibri" w:hAnsi="Calibri"/>
                <w:sz w:val="22"/>
              </w:rPr>
              <w:t>$0.34</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1Q FY2026 (Jun-25)</w:t>
            </w:r>
          </w:p>
        </w:tc>
        <w:tc>
          <w:tcPr>
            <w:tcW w:type="dxa" w:w="1440"/>
          </w:tcPr>
          <w:p>
            <w:r>
              <w:rPr>
                <w:rFonts w:ascii="Calibri" w:hAnsi="Calibri"/>
                <w:sz w:val="22"/>
              </w:rPr>
              <w:t>Revenue</w:t>
            </w:r>
          </w:p>
        </w:tc>
        <w:tc>
          <w:tcPr>
            <w:tcW w:type="dxa" w:w="1440"/>
          </w:tcPr>
          <w:p>
            <w:r>
              <w:rPr>
                <w:rFonts w:ascii="Calibri" w:hAnsi="Calibri"/>
                <w:sz w:val="22"/>
              </w:rPr>
              <w:t>$1,076M</w:t>
            </w:r>
          </w:p>
        </w:tc>
        <w:tc>
          <w:tcPr>
            <w:tcW w:type="dxa" w:w="1440"/>
          </w:tcPr>
          <w:p>
            <w:r>
              <w:rPr>
                <w:rFonts w:ascii="Calibri" w:hAnsi="Calibri"/>
                <w:sz w:val="22"/>
              </w:rPr>
              <w:t>$1,056M</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1Q FY2026 (Jun-25)</w:t>
            </w:r>
          </w:p>
        </w:tc>
        <w:tc>
          <w:tcPr>
            <w:tcW w:type="dxa" w:w="1440"/>
          </w:tcPr>
          <w:p>
            <w:r>
              <w:rPr>
                <w:rFonts w:ascii="Calibri" w:hAnsi="Calibri"/>
                <w:sz w:val="22"/>
              </w:rPr>
              <w:t>Non-GAAP EPS</w:t>
            </w:r>
          </w:p>
        </w:tc>
        <w:tc>
          <w:tcPr>
            <w:tcW w:type="dxa" w:w="1440"/>
          </w:tcPr>
          <w:p>
            <w:r>
              <w:rPr>
                <w:rFonts w:ascii="Calibri" w:hAnsi="Calibri"/>
                <w:sz w:val="22"/>
              </w:rPr>
              <w:t>$0.27</w:t>
            </w:r>
          </w:p>
        </w:tc>
        <w:tc>
          <w:tcPr>
            <w:tcW w:type="dxa" w:w="1440"/>
          </w:tcPr>
          <w:p>
            <w:r>
              <w:rPr>
                <w:rFonts w:ascii="Calibri" w:hAnsi="Calibri"/>
                <w:sz w:val="22"/>
              </w:rPr>
              <w:t>$0.24</w:t>
            </w:r>
          </w:p>
        </w:tc>
        <w:tc>
          <w:tcPr>
            <w:tcW w:type="dxa" w:w="1440"/>
          </w:tcPr>
          <w:p>
            <w:r>
              <w:rPr>
                <w:rFonts w:ascii="Calibri" w:hAnsi="Calibri"/>
                <w:b/>
                <w:color w:val="30A46C"/>
                <w:sz w:val="22"/>
              </w:rPr>
              <w:t>+12.5%</w:t>
            </w:r>
          </w:p>
        </w:tc>
        <w:tc>
          <w:tcPr>
            <w:tcW w:type="dxa" w:w="1440"/>
          </w:tcPr>
          <w:p>
            <w:r>
              <w:rPr>
                <w:rFonts w:ascii="Calibri" w:hAnsi="Calibri"/>
                <w:sz w:val="22"/>
              </w:rPr>
              <w:t>Beat</w:t>
            </w:r>
          </w:p>
        </w:tc>
      </w:tr>
      <w:tr>
        <w:tc>
          <w:tcPr>
            <w:tcW w:type="dxa" w:w="1440"/>
          </w:tcPr>
          <w:p>
            <w:r>
              <w:rPr>
                <w:rFonts w:ascii="Calibri" w:hAnsi="Calibri"/>
                <w:sz w:val="22"/>
              </w:rPr>
              <w:t>4Q FY2025 (Mar-25)</w:t>
            </w:r>
          </w:p>
        </w:tc>
        <w:tc>
          <w:tcPr>
            <w:tcW w:type="dxa" w:w="1440"/>
          </w:tcPr>
          <w:p>
            <w:r>
              <w:rPr>
                <w:rFonts w:ascii="Calibri" w:hAnsi="Calibri"/>
                <w:sz w:val="22"/>
              </w:rPr>
              <w:t>Revenue</w:t>
            </w:r>
          </w:p>
        </w:tc>
        <w:tc>
          <w:tcPr>
            <w:tcW w:type="dxa" w:w="1440"/>
          </w:tcPr>
          <w:p>
            <w:r>
              <w:rPr>
                <w:rFonts w:ascii="Calibri" w:hAnsi="Calibri"/>
                <w:sz w:val="22"/>
              </w:rPr>
              <w:t>$971M</w:t>
            </w:r>
          </w:p>
        </w:tc>
        <w:tc>
          <w:tcPr>
            <w:tcW w:type="dxa" w:w="1440"/>
          </w:tcPr>
          <w:p>
            <w:r>
              <w:rPr>
                <w:rFonts w:ascii="Calibri" w:hAnsi="Calibri"/>
                <w:sz w:val="22"/>
              </w:rPr>
              <w:t>$963M</w:t>
            </w:r>
          </w:p>
        </w:tc>
        <w:tc>
          <w:tcPr>
            <w:tcW w:type="dxa" w:w="1440"/>
          </w:tcPr>
          <w:p>
            <w:r>
              <w:rPr>
                <w:rFonts w:ascii="Calibri" w:hAnsi="Calibri"/>
                <w:sz w:val="22"/>
              </w:rPr>
              <w:t>+0.8%</w:t>
            </w:r>
          </w:p>
        </w:tc>
        <w:tc>
          <w:tcPr>
            <w:tcW w:type="dxa" w:w="1440"/>
          </w:tcPr>
          <w:p>
            <w:r>
              <w:rPr>
                <w:rFonts w:ascii="Calibri" w:hAnsi="Calibri"/>
                <w:sz w:val="22"/>
              </w:rPr>
              <w:t>In-Line</w:t>
            </w:r>
          </w:p>
        </w:tc>
      </w:tr>
      <w:tr>
        <w:tc>
          <w:tcPr>
            <w:tcW w:type="dxa" w:w="1440"/>
          </w:tcPr>
          <w:p>
            <w:r>
              <w:rPr>
                <w:rFonts w:ascii="Calibri" w:hAnsi="Calibri"/>
                <w:sz w:val="22"/>
              </w:rPr>
              <w:t>4Q FY2025 (Mar-25)</w:t>
            </w:r>
          </w:p>
        </w:tc>
        <w:tc>
          <w:tcPr>
            <w:tcW w:type="dxa" w:w="1440"/>
          </w:tcPr>
          <w:p>
            <w:r>
              <w:rPr>
                <w:rFonts w:ascii="Calibri" w:hAnsi="Calibri"/>
                <w:sz w:val="22"/>
              </w:rPr>
              <w:t>Non-GAAP EPS</w:t>
            </w:r>
          </w:p>
        </w:tc>
        <w:tc>
          <w:tcPr>
            <w:tcW w:type="dxa" w:w="1440"/>
          </w:tcPr>
          <w:p>
            <w:r>
              <w:rPr>
                <w:rFonts w:ascii="Calibri" w:hAnsi="Calibri"/>
                <w:sz w:val="22"/>
              </w:rPr>
              <w:t>$0.11</w:t>
            </w:r>
          </w:p>
        </w:tc>
        <w:tc>
          <w:tcPr>
            <w:tcW w:type="dxa" w:w="1440"/>
          </w:tcPr>
          <w:p>
            <w:r>
              <w:rPr>
                <w:rFonts w:ascii="Calibri" w:hAnsi="Calibri"/>
                <w:sz w:val="22"/>
              </w:rPr>
              <w:t>$0.11</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3Q FY2025 (Dec-24)</w:t>
            </w:r>
          </w:p>
        </w:tc>
        <w:tc>
          <w:tcPr>
            <w:tcW w:type="dxa" w:w="1440"/>
          </w:tcPr>
          <w:p>
            <w:r>
              <w:rPr>
                <w:rFonts w:ascii="Calibri" w:hAnsi="Calibri"/>
                <w:sz w:val="22"/>
              </w:rPr>
              <w:t>Revenue</w:t>
            </w:r>
          </w:p>
        </w:tc>
        <w:tc>
          <w:tcPr>
            <w:tcW w:type="dxa" w:w="1440"/>
          </w:tcPr>
          <w:p>
            <w:r>
              <w:rPr>
                <w:rFonts w:ascii="Calibri" w:hAnsi="Calibri"/>
                <w:sz w:val="22"/>
              </w:rPr>
              <w:t>$1,026M</w:t>
            </w:r>
          </w:p>
        </w:tc>
        <w:tc>
          <w:tcPr>
            <w:tcW w:type="dxa" w:w="1440"/>
          </w:tcPr>
          <w:p>
            <w:r>
              <w:rPr>
                <w:rFonts w:ascii="Calibri" w:hAnsi="Calibri"/>
                <w:sz w:val="22"/>
              </w:rPr>
              <w:t>$1,068M</w:t>
            </w:r>
          </w:p>
        </w:tc>
        <w:tc>
          <w:tcPr>
            <w:tcW w:type="dxa" w:w="1440"/>
          </w:tcPr>
          <w:p>
            <w:r>
              <w:rPr>
                <w:rFonts w:ascii="Calibri" w:hAnsi="Calibri"/>
                <w:b/>
                <w:color w:val="E5484D"/>
                <w:sz w:val="22"/>
              </w:rPr>
              <w:t>-3.9%</w:t>
            </w:r>
          </w:p>
        </w:tc>
        <w:tc>
          <w:tcPr>
            <w:tcW w:type="dxa" w:w="1440"/>
          </w:tcPr>
          <w:p>
            <w:r>
              <w:rPr>
                <w:rFonts w:ascii="Calibri" w:hAnsi="Calibri"/>
                <w:sz w:val="22"/>
              </w:rPr>
              <w:t>Miss</w:t>
            </w:r>
          </w:p>
        </w:tc>
      </w:tr>
      <w:tr>
        <w:tc>
          <w:tcPr>
            <w:tcW w:type="dxa" w:w="1440"/>
          </w:tcPr>
          <w:p>
            <w:r>
              <w:rPr>
                <w:rFonts w:ascii="Calibri" w:hAnsi="Calibri"/>
                <w:sz w:val="22"/>
              </w:rPr>
              <w:t>3Q FY2025 (Dec-24)</w:t>
            </w:r>
          </w:p>
        </w:tc>
        <w:tc>
          <w:tcPr>
            <w:tcW w:type="dxa" w:w="1440"/>
          </w:tcPr>
          <w:p>
            <w:r>
              <w:rPr>
                <w:rFonts w:ascii="Calibri" w:hAnsi="Calibri"/>
                <w:sz w:val="22"/>
              </w:rPr>
              <w:t>Non-GAAP EPS</w:t>
            </w:r>
          </w:p>
        </w:tc>
        <w:tc>
          <w:tcPr>
            <w:tcW w:type="dxa" w:w="1440"/>
          </w:tcPr>
          <w:p>
            <w:r>
              <w:rPr>
                <w:rFonts w:ascii="Calibri" w:hAnsi="Calibri"/>
                <w:sz w:val="22"/>
              </w:rPr>
              <w:t>$0.20</w:t>
            </w:r>
          </w:p>
        </w:tc>
        <w:tc>
          <w:tcPr>
            <w:tcW w:type="dxa" w:w="1440"/>
          </w:tcPr>
          <w:p>
            <w:r>
              <w:rPr>
                <w:rFonts w:ascii="Calibri" w:hAnsi="Calibri"/>
                <w:sz w:val="22"/>
              </w:rPr>
              <w:t>$0.28</w:t>
            </w:r>
          </w:p>
        </w:tc>
        <w:tc>
          <w:tcPr>
            <w:tcW w:type="dxa" w:w="1440"/>
          </w:tcPr>
          <w:p>
            <w:r>
              <w:rPr>
                <w:rFonts w:ascii="Calibri" w:hAnsi="Calibri"/>
                <w:b/>
                <w:color w:val="E5484D"/>
                <w:sz w:val="22"/>
              </w:rPr>
              <w:t>-28.6%</w:t>
            </w:r>
          </w:p>
        </w:tc>
        <w:tc>
          <w:tcPr>
            <w:tcW w:type="dxa" w:w="1440"/>
          </w:tcPr>
          <w:p>
            <w:r>
              <w:rPr>
                <w:rFonts w:ascii="Calibri" w:hAnsi="Calibri"/>
                <w:sz w:val="22"/>
              </w:rPr>
              <w:t>Miss</w:t>
            </w:r>
          </w:p>
        </w:tc>
      </w:tr>
      <w:tr>
        <w:tc>
          <w:tcPr>
            <w:tcW w:type="dxa" w:w="1440"/>
          </w:tcPr>
          <w:p>
            <w:r>
              <w:rPr>
                <w:rFonts w:ascii="Calibri" w:hAnsi="Calibri"/>
                <w:sz w:val="22"/>
              </w:rPr>
              <w:t>2Q FY2025 (Sep-24)</w:t>
            </w:r>
          </w:p>
        </w:tc>
        <w:tc>
          <w:tcPr>
            <w:tcW w:type="dxa" w:w="1440"/>
          </w:tcPr>
          <w:p>
            <w:r>
              <w:rPr>
                <w:rFonts w:ascii="Calibri" w:hAnsi="Calibri"/>
                <w:sz w:val="22"/>
              </w:rPr>
              <w:t>Revenue</w:t>
            </w:r>
          </w:p>
        </w:tc>
        <w:tc>
          <w:tcPr>
            <w:tcW w:type="dxa" w:w="1440"/>
          </w:tcPr>
          <w:p>
            <w:r>
              <w:rPr>
                <w:rFonts w:ascii="Calibri" w:hAnsi="Calibri"/>
                <w:sz w:val="22"/>
              </w:rPr>
              <w:t>$1,164M</w:t>
            </w:r>
          </w:p>
        </w:tc>
        <w:tc>
          <w:tcPr>
            <w:tcW w:type="dxa" w:w="1440"/>
          </w:tcPr>
          <w:p>
            <w:r>
              <w:rPr>
                <w:rFonts w:ascii="Calibri" w:hAnsi="Calibri"/>
                <w:sz w:val="22"/>
              </w:rPr>
              <w:t>$1,153M</w:t>
            </w:r>
          </w:p>
        </w:tc>
        <w:tc>
          <w:tcPr>
            <w:tcW w:type="dxa" w:w="1440"/>
          </w:tcPr>
          <w:p>
            <w:r>
              <w:rPr>
                <w:rFonts w:ascii="Calibri" w:hAnsi="Calibri"/>
                <w:sz w:val="22"/>
              </w:rPr>
              <w:t>+1.0%</w:t>
            </w:r>
          </w:p>
        </w:tc>
        <w:tc>
          <w:tcPr>
            <w:tcW w:type="dxa" w:w="1440"/>
          </w:tcPr>
          <w:p>
            <w:r>
              <w:rPr>
                <w:rFonts w:ascii="Calibri" w:hAnsi="Calibri"/>
                <w:sz w:val="22"/>
              </w:rPr>
              <w:t>In-Line</w:t>
            </w:r>
          </w:p>
        </w:tc>
      </w:tr>
      <w:tr>
        <w:tc>
          <w:tcPr>
            <w:tcW w:type="dxa" w:w="1440"/>
          </w:tcPr>
          <w:p>
            <w:r>
              <w:rPr>
                <w:rFonts w:ascii="Calibri" w:hAnsi="Calibri"/>
                <w:sz w:val="22"/>
              </w:rPr>
              <w:t>2Q FY2025 (Sep-24)</w:t>
            </w:r>
          </w:p>
        </w:tc>
        <w:tc>
          <w:tcPr>
            <w:tcW w:type="dxa" w:w="1440"/>
          </w:tcPr>
          <w:p>
            <w:r>
              <w:rPr>
                <w:rFonts w:ascii="Calibri" w:hAnsi="Calibri"/>
                <w:sz w:val="22"/>
              </w:rPr>
              <w:t>Non-GAAP EPS</w:t>
            </w:r>
          </w:p>
        </w:tc>
        <w:tc>
          <w:tcPr>
            <w:tcW w:type="dxa" w:w="1440"/>
          </w:tcPr>
          <w:p>
            <w:r>
              <w:rPr>
                <w:rFonts w:ascii="Calibri" w:hAnsi="Calibri"/>
                <w:sz w:val="22"/>
              </w:rPr>
              <w:t>$0.46</w:t>
            </w:r>
          </w:p>
        </w:tc>
        <w:tc>
          <w:tcPr>
            <w:tcW w:type="dxa" w:w="1440"/>
          </w:tcPr>
          <w:p>
            <w:r>
              <w:rPr>
                <w:rFonts w:ascii="Calibri" w:hAnsi="Calibri"/>
                <w:sz w:val="22"/>
              </w:rPr>
              <w:t>$0.44</w:t>
            </w:r>
          </w:p>
        </w:tc>
        <w:tc>
          <w:tcPr>
            <w:tcW w:type="dxa" w:w="1440"/>
          </w:tcPr>
          <w:p>
            <w:r>
              <w:rPr>
                <w:rFonts w:ascii="Calibri" w:hAnsi="Calibri"/>
                <w:b/>
                <w:color w:val="30A46C"/>
                <w:sz w:val="22"/>
              </w:rPr>
              <w:t>+4.5%</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MCHP has beaten or matched revenue consensus in 7 of the last 8 quarters, with the sole miss in 3Q FY2025 (Dec-24) driven by the depth of the inventory correction. EPS beats have been consistent since the trough, with the magnitude of beats accelerating as the recovery has taken hold — a pattern that sets a higher implicit bar for the current quarter.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May 7 earnings call</w:t>
      </w:r>
      <w:r>
        <w:rPr>
          <w:rFonts w:ascii="Calibri" w:hAnsi="Calibri"/>
          <w:color w:val="525866"/>
          <w:sz w:val="22"/>
        </w:rPr>
        <w:t xml:space="preserve"> — no formal revision has been issued. However, management's tone has shifted more constructive at subsequent conferences, with the BofA conference (June 2) confirming gross margin guidance at 62.75% and the JPMorgan conference (May 20) reaffirming bookings momentum continuing into May. The pricing strategy shift announced June 1–2 (price increases effective September) is the most material post-earnings development but does not affect June-quarter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(1Q FY2027)</w:t>
            </w:r>
          </w:p>
        </w:tc>
        <w:tc>
          <w:tcPr>
            <w:tcW w:type="dxa" w:w="1728"/>
          </w:tcPr>
          <w:p>
            <w:r>
              <w:rPr>
                <w:rFonts w:ascii="Calibri" w:hAnsi="Calibri"/>
                <w:sz w:val="22"/>
              </w:rPr>
              <w:t>Up ~11% seq. (±1%); ~$1,455M midpoint</w:t>
            </w:r>
          </w:p>
        </w:tc>
        <w:tc>
          <w:tcPr>
            <w:tcW w:type="dxa" w:w="1728"/>
          </w:tcPr>
          <w:p>
            <w:r>
              <w:rPr>
                <w:rFonts w:ascii="Calibri" w:hAnsi="Calibri"/>
                <w:sz w:val="22"/>
              </w:rPr>
              <w:t>—</w:t>
            </w:r>
          </w:p>
        </w:tc>
        <w:tc>
          <w:tcPr>
            <w:tcW w:type="dxa" w:w="1728"/>
          </w:tcPr>
          <w:p>
            <w:r>
              <w:rPr>
                <w:rFonts w:ascii="Calibri" w:hAnsi="Calibri"/>
                <w:sz w:val="22"/>
              </w:rPr>
              <w:t>$1,457M</w:t>
            </w:r>
          </w:p>
        </w:tc>
        <w:tc>
          <w:tcPr>
            <w:tcW w:type="dxa" w:w="1728"/>
          </w:tcPr>
          <w:p>
            <w:r>
              <w:rPr>
                <w:rFonts w:ascii="Calibri" w:hAnsi="Calibri"/>
                <w:sz w:val="22"/>
              </w:rPr>
              <w:t>Unchanged. JPMorgan conf. (May 20) reaffirmed 11% seq. growth. Bookings momentum continued into May.</w:t>
            </w:r>
          </w:p>
        </w:tc>
      </w:tr>
      <w:tr>
        <w:tc>
          <w:tcPr>
            <w:tcW w:type="dxa" w:w="1728"/>
          </w:tcPr>
          <w:p>
            <w:r>
              <w:rPr>
                <w:rFonts w:ascii="Calibri" w:hAnsi="Calibri"/>
                <w:sz w:val="22"/>
              </w:rPr>
              <w:t>Non-GAAP Gross Margin</w:t>
            </w:r>
          </w:p>
        </w:tc>
        <w:tc>
          <w:tcPr>
            <w:tcW w:type="dxa" w:w="1728"/>
          </w:tcPr>
          <w:p>
            <w:r>
              <w:rPr>
                <w:rFonts w:ascii="Calibri" w:hAnsi="Calibri"/>
                <w:sz w:val="22"/>
              </w:rPr>
              <w:t>62.25%–63.25%</w:t>
            </w:r>
          </w:p>
        </w:tc>
        <w:tc>
          <w:tcPr>
            <w:tcW w:type="dxa" w:w="1728"/>
          </w:tcPr>
          <w:p>
            <w:r>
              <w:rPr>
                <w:rFonts w:ascii="Calibri" w:hAnsi="Calibri"/>
                <w:sz w:val="22"/>
              </w:rPr>
              <w:t>—</w:t>
            </w:r>
          </w:p>
        </w:tc>
        <w:tc>
          <w:tcPr>
            <w:tcW w:type="dxa" w:w="1728"/>
          </w:tcPr>
          <w:p>
            <w:r>
              <w:rPr>
                <w:rFonts w:ascii="Calibri" w:hAnsi="Calibri"/>
                <w:sz w:val="22"/>
              </w:rPr>
              <w:t>~62.9%</w:t>
            </w:r>
          </w:p>
        </w:tc>
        <w:tc>
          <w:tcPr>
            <w:tcW w:type="dxa" w:w="1728"/>
          </w:tcPr>
          <w:p>
            <w:r>
              <w:rPr>
                <w:rFonts w:ascii="Calibri" w:hAnsi="Calibri"/>
                <w:sz w:val="22"/>
              </w:rPr>
              <w:t>BofA conf. (June 2) confirmed 62.75% midpoint. Underutilization charges expected to decline from $46.6M in 4Q FY2026.</w:t>
            </w:r>
          </w:p>
        </w:tc>
      </w:tr>
      <w:tr>
        <w:tc>
          <w:tcPr>
            <w:tcW w:type="dxa" w:w="1728"/>
          </w:tcPr>
          <w:p>
            <w:r>
              <w:rPr>
                <w:rFonts w:ascii="Calibri" w:hAnsi="Calibri"/>
                <w:sz w:val="22"/>
              </w:rPr>
              <w:t>Non-GAAP Operating Expenses (% of Sales)</w:t>
            </w:r>
          </w:p>
        </w:tc>
        <w:tc>
          <w:tcPr>
            <w:tcW w:type="dxa" w:w="1728"/>
          </w:tcPr>
          <w:p>
            <w:r>
              <w:rPr>
                <w:rFonts w:ascii="Calibri" w:hAnsi="Calibri"/>
                <w:sz w:val="22"/>
              </w:rPr>
              <w:t>28.75%–29.25%</w:t>
            </w:r>
          </w:p>
        </w:tc>
        <w:tc>
          <w:tcPr>
            <w:tcW w:type="dxa" w:w="1728"/>
          </w:tcPr>
          <w:p>
            <w:r>
              <w:rPr>
                <w:rFonts w:ascii="Calibri" w:hAnsi="Calibri"/>
                <w:sz w:val="22"/>
              </w:rPr>
              <w:t>—</w:t>
            </w:r>
          </w:p>
        </w:tc>
        <w:tc>
          <w:tcPr>
            <w:tcW w:type="dxa" w:w="1728"/>
          </w:tcPr>
          <w:p>
            <w:r>
              <w:rPr>
                <w:rFonts w:ascii="Calibri" w:hAnsi="Calibri"/>
                <w:sz w:val="22"/>
              </w:rPr>
              <w:t>~29.0%</w:t>
            </w:r>
          </w:p>
        </w:tc>
        <w:tc>
          <w:tcPr>
            <w:tcW w:type="dxa" w:w="1728"/>
          </w:tcPr>
          <w:p>
            <w:r>
              <w:rPr>
                <w:rFonts w:ascii="Calibri" w:hAnsi="Calibri"/>
                <w:sz w:val="22"/>
              </w:rPr>
              <w:t>Unchanged. ~$15M QoQ increase at midpoint driven by bonus programs and compensation restoration.</w:t>
            </w:r>
          </w:p>
        </w:tc>
      </w:tr>
      <w:tr>
        <w:tc>
          <w:tcPr>
            <w:tcW w:type="dxa" w:w="1728"/>
          </w:tcPr>
          <w:p>
            <w:r>
              <w:rPr>
                <w:rFonts w:ascii="Calibri" w:hAnsi="Calibri"/>
                <w:sz w:val="22"/>
              </w:rPr>
              <w:t>Non-GAAP Operating Profit (% of Sales)</w:t>
            </w:r>
          </w:p>
        </w:tc>
        <w:tc>
          <w:tcPr>
            <w:tcW w:type="dxa" w:w="1728"/>
          </w:tcPr>
          <w:p>
            <w:r>
              <w:rPr>
                <w:rFonts w:ascii="Calibri" w:hAnsi="Calibri"/>
                <w:sz w:val="22"/>
              </w:rPr>
              <w:t>33.0%–34.5%</w:t>
            </w:r>
          </w:p>
        </w:tc>
        <w:tc>
          <w:tcPr>
            <w:tcW w:type="dxa" w:w="1728"/>
          </w:tcPr>
          <w:p>
            <w:r>
              <w:rPr>
                <w:rFonts w:ascii="Calibri" w:hAnsi="Calibri"/>
                <w:sz w:val="22"/>
              </w:rPr>
              <w:t>—</w:t>
            </w:r>
          </w:p>
        </w:tc>
        <w:tc>
          <w:tcPr>
            <w:tcW w:type="dxa" w:w="1728"/>
          </w:tcPr>
          <w:p>
            <w:r>
              <w:rPr>
                <w:rFonts w:ascii="Calibri" w:hAnsi="Calibri"/>
                <w:sz w:val="22"/>
              </w:rPr>
              <w:t>~33.9%</w:t>
            </w:r>
          </w:p>
        </w:tc>
        <w:tc>
          <w:tcPr>
            <w:tcW w:type="dxa" w:w="1728"/>
          </w:tcPr>
          <w:p>
            <w:r>
              <w:rPr>
                <w:rFonts w:ascii="Calibri" w:hAnsi="Calibri"/>
                <w:sz w:val="22"/>
              </w:rPr>
              <w:t>Unchanged. Trending toward long-term 40% target.</w:t>
            </w:r>
          </w:p>
        </w:tc>
      </w:tr>
      <w:tr>
        <w:tc>
          <w:tcPr>
            <w:tcW w:type="dxa" w:w="1728"/>
          </w:tcPr>
          <w:p>
            <w:r>
              <w:rPr>
                <w:rFonts w:ascii="Calibri" w:hAnsi="Calibri"/>
                <w:sz w:val="22"/>
              </w:rPr>
              <w:t>Non-GAAP EPS (Diluted)</w:t>
            </w:r>
          </w:p>
        </w:tc>
        <w:tc>
          <w:tcPr>
            <w:tcW w:type="dxa" w:w="1728"/>
          </w:tcPr>
          <w:p>
            <w:r>
              <w:rPr>
                <w:rFonts w:ascii="Calibri" w:hAnsi="Calibri"/>
                <w:sz w:val="22"/>
              </w:rPr>
              <w:t>$0.67–$0.71</w:t>
            </w:r>
          </w:p>
        </w:tc>
        <w:tc>
          <w:tcPr>
            <w:tcW w:type="dxa" w:w="1728"/>
          </w:tcPr>
          <w:p>
            <w:r>
              <w:rPr>
                <w:rFonts w:ascii="Calibri" w:hAnsi="Calibri"/>
                <w:sz w:val="22"/>
              </w:rPr>
              <w:t>—</w:t>
            </w:r>
          </w:p>
        </w:tc>
        <w:tc>
          <w:tcPr>
            <w:tcW w:type="dxa" w:w="1728"/>
          </w:tcPr>
          <w:p>
            <w:r>
              <w:rPr>
                <w:rFonts w:ascii="Calibri" w:hAnsi="Calibri"/>
                <w:sz w:val="22"/>
              </w:rPr>
              <w:t>$0.70</w:t>
            </w:r>
          </w:p>
        </w:tc>
        <w:tc>
          <w:tcPr>
            <w:tcW w:type="dxa" w:w="1728"/>
          </w:tcPr>
          <w:p>
            <w:r>
              <w:rPr>
                <w:rFonts w:ascii="Calibri" w:hAnsi="Calibri"/>
                <w:sz w:val="22"/>
              </w:rPr>
              <w:t>Unchanged. Consensus at top of range; non-GAAP tax rate for FY2027 guided ~10%.</w:t>
            </w:r>
          </w:p>
        </w:tc>
      </w:tr>
      <w:tr>
        <w:tc>
          <w:tcPr>
            <w:tcW w:type="dxa" w:w="1728"/>
          </w:tcPr>
          <w:p>
            <w:r>
              <w:rPr>
                <w:rFonts w:ascii="Calibri" w:hAnsi="Calibri"/>
                <w:sz w:val="22"/>
              </w:rPr>
              <w:t>Net Debt / Adj. EBITDA</w:t>
            </w:r>
          </w:p>
        </w:tc>
        <w:tc>
          <w:tcPr>
            <w:tcW w:type="dxa" w:w="1728"/>
          </w:tcPr>
          <w:p>
            <w:r>
              <w:rPr>
                <w:rFonts w:ascii="Calibri" w:hAnsi="Calibri"/>
                <w:sz w:val="22"/>
              </w:rPr>
              <w:t>Expected to drop below 3.0x</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Confirmed at JPMorgan conf. (May 20) and BofA conf. (June 2). Key deleveraging milestone.</w:t>
            </w:r>
          </w:p>
        </w:tc>
      </w:tr>
      <w:tr>
        <w:tc>
          <w:tcPr>
            <w:tcW w:type="dxa" w:w="1728"/>
          </w:tcPr>
          <w:p>
            <w:r>
              <w:rPr>
                <w:rFonts w:ascii="Calibri" w:hAnsi="Calibri"/>
                <w:sz w:val="22"/>
              </w:rPr>
              <w:t>Pricing Strategy (Post-Earnings Development)</w:t>
            </w:r>
          </w:p>
        </w:tc>
        <w:tc>
          <w:tcPr>
            <w:tcW w:type="dxa" w:w="1728"/>
          </w:tcPr>
          <w:p>
            <w:r>
              <w:rPr>
                <w:rFonts w:ascii="Calibri" w:hAnsi="Calibri"/>
                <w:sz w:val="22"/>
              </w:rPr>
              <w:t>No price increases planned (as of May 7)</w:t>
            </w:r>
          </w:p>
        </w:tc>
        <w:tc>
          <w:tcPr>
            <w:tcW w:type="dxa" w:w="1728"/>
          </w:tcPr>
          <w:p>
            <w:r>
              <w:rPr>
                <w:rFonts w:ascii="Calibri" w:hAnsi="Calibri"/>
                <w:sz w:val="22"/>
              </w:rPr>
              <w:t>↑ Price increases announced June 1–2, 2026</w:t>
            </w:r>
          </w:p>
        </w:tc>
        <w:tc>
          <w:tcPr>
            <w:tcW w:type="dxa" w:w="1728"/>
          </w:tcPr>
          <w:p>
            <w:r>
              <w:rPr>
                <w:rFonts w:ascii="Calibri" w:hAnsi="Calibri"/>
                <w:sz w:val="22"/>
              </w:rPr>
              <w:t>N/A</w:t>
            </w:r>
          </w:p>
        </w:tc>
        <w:tc>
          <w:tcPr>
            <w:tcW w:type="dxa" w:w="1728"/>
          </w:tcPr>
          <w:p>
            <w:r>
              <w:rPr>
                <w:rFonts w:ascii="Calibri" w:hAnsi="Calibri"/>
                <w:sz w:val="22"/>
              </w:rPr>
              <w:t>↑ New development: Cost pass-through price increases effective ~September; primary P&amp;L impact in Dec-26 quarter. June guidance unaffected (confirmed at Mizuho conf., June 9).</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sharply higher</w:t>
      </w:r>
      <w:r>
        <w:rPr>
          <w:rFonts w:ascii="Calibri" w:hAnsi="Calibri"/>
          <w:color w:val="525866"/>
          <w:sz w:val="22"/>
        </w:rPr>
        <w:t xml:space="preserve"> since the May 7 beat — 1Q FY2027 EPS consensus jumped from $0.38 to $0.70 (+84%), and FY2027 EPS from $3.16 to $3.21 (+1.5%). Estimates are tracking at or slightly above guidance midpoints, meaning the bar is now set at the top of the guided range. The gap between current consensus and guidance midpoint is thin, leaving limited cushion for a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May 7 Earnings, ~May 14,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1Q FY2027</w:t>
            </w:r>
          </w:p>
        </w:tc>
        <w:tc>
          <w:tcPr>
            <w:tcW w:type="dxa" w:w="1080"/>
          </w:tcPr>
          <w:p>
            <w:r>
              <w:rPr>
                <w:rFonts w:ascii="Calibri" w:hAnsi="Calibri"/>
                <w:sz w:val="22"/>
              </w:rPr>
              <w:t>$1,457M</w:t>
            </w:r>
          </w:p>
        </w:tc>
        <w:tc>
          <w:tcPr>
            <w:tcW w:type="dxa" w:w="1080"/>
          </w:tcPr>
          <w:p>
            <w:r>
              <w:rPr>
                <w:rFonts w:ascii="Calibri" w:hAnsi="Calibri"/>
                <w:sz w:val="22"/>
              </w:rPr>
              <w:t>$1,457M</w:t>
            </w:r>
          </w:p>
        </w:tc>
        <w:tc>
          <w:tcPr>
            <w:tcW w:type="dxa" w:w="1080"/>
          </w:tcPr>
          <w:p>
            <w:r>
              <w:rPr>
                <w:rFonts w:ascii="Calibri" w:hAnsi="Calibri"/>
                <w:sz w:val="22"/>
              </w:rPr>
              <w:t>0.0%</w:t>
            </w:r>
          </w:p>
        </w:tc>
        <w:tc>
          <w:tcPr>
            <w:tcW w:type="dxa" w:w="1080"/>
          </w:tcPr>
          <w:p>
            <w:r>
              <w:rPr>
                <w:rFonts w:ascii="Calibri" w:hAnsi="Calibri"/>
                <w:sz w:val="22"/>
              </w:rPr>
              <w:t>~$1,455M midpoint (up 11% seq. ±1%)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Non-GAAP EPS — 1Q FY2027</w:t>
            </w:r>
          </w:p>
        </w:tc>
        <w:tc>
          <w:tcPr>
            <w:tcW w:type="dxa" w:w="1080"/>
          </w:tcPr>
          <w:p>
            <w:r>
              <w:rPr>
                <w:rFonts w:ascii="Calibri" w:hAnsi="Calibri"/>
                <w:sz w:val="22"/>
              </w:rPr>
              <w:t>$0.70</w:t>
            </w:r>
          </w:p>
        </w:tc>
        <w:tc>
          <w:tcPr>
            <w:tcW w:type="dxa" w:w="1080"/>
          </w:tcPr>
          <w:p>
            <w:r>
              <w:rPr>
                <w:rFonts w:ascii="Calibri" w:hAnsi="Calibri"/>
                <w:sz w:val="22"/>
              </w:rPr>
              <w:t>$0.70</w:t>
            </w:r>
          </w:p>
        </w:tc>
        <w:tc>
          <w:tcPr>
            <w:tcW w:type="dxa" w:w="1080"/>
          </w:tcPr>
          <w:p>
            <w:r>
              <w:rPr>
                <w:rFonts w:ascii="Calibri" w:hAnsi="Calibri"/>
                <w:sz w:val="22"/>
              </w:rPr>
              <w:t>0.0%</w:t>
            </w:r>
          </w:p>
        </w:tc>
        <w:tc>
          <w:tcPr>
            <w:tcW w:type="dxa" w:w="1080"/>
          </w:tcPr>
          <w:p>
            <w:r>
              <w:rPr>
                <w:rFonts w:ascii="Calibri" w:hAnsi="Calibri"/>
                <w:sz w:val="22"/>
              </w:rPr>
              <w:t>$0.67–$0.71 ($0.69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(at top of range)</w:t>
            </w:r>
          </w:p>
        </w:tc>
      </w:tr>
      <w:tr>
        <w:tc>
          <w:tcPr>
            <w:tcW w:type="dxa" w:w="1080"/>
          </w:tcPr>
          <w:p>
            <w:r>
              <w:rPr>
                <w:rFonts w:ascii="Calibri" w:hAnsi="Calibri"/>
                <w:sz w:val="22"/>
              </w:rPr>
              <w:t>Non-GAAP EPS — FY2027 (Full Year)</w:t>
            </w:r>
          </w:p>
        </w:tc>
        <w:tc>
          <w:tcPr>
            <w:tcW w:type="dxa" w:w="1080"/>
          </w:tcPr>
          <w:p>
            <w:r>
              <w:rPr>
                <w:rFonts w:ascii="Calibri" w:hAnsi="Calibri"/>
                <w:sz w:val="22"/>
              </w:rPr>
              <w:t>$3.16</w:t>
            </w:r>
          </w:p>
        </w:tc>
        <w:tc>
          <w:tcPr>
            <w:tcW w:type="dxa" w:w="1080"/>
          </w:tcPr>
          <w:p>
            <w:r>
              <w:rPr>
                <w:rFonts w:ascii="Calibri" w:hAnsi="Calibri"/>
                <w:sz w:val="22"/>
              </w:rPr>
              <w:t>$3.21</w:t>
            </w:r>
          </w:p>
        </w:tc>
        <w:tc>
          <w:tcPr>
            <w:tcW w:type="dxa" w:w="1080"/>
          </w:tcPr>
          <w:p>
            <w:r>
              <w:rPr>
                <w:rFonts w:ascii="Calibri" w:hAnsi="Calibri"/>
                <w:b/>
                <w:color w:val="30A46C"/>
                <w:sz w:val="22"/>
              </w:rPr>
              <w:t>+1.5%</w:t>
            </w:r>
          </w:p>
        </w:tc>
        <w:tc>
          <w:tcPr>
            <w:tcW w:type="dxa" w:w="1080"/>
          </w:tcPr>
          <w:p>
            <w:r>
              <w:rPr>
                <w:rFonts w:ascii="Calibri" w:hAnsi="Calibri"/>
                <w:sz w:val="22"/>
              </w:rPr>
              <w:t>No explicit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 (Full Year)</w:t>
            </w:r>
          </w:p>
        </w:tc>
        <w:tc>
          <w:tcPr>
            <w:tcW w:type="dxa" w:w="1080"/>
          </w:tcPr>
          <w:p>
            <w:r>
              <w:rPr>
                <w:rFonts w:ascii="Calibri" w:hAnsi="Calibri"/>
                <w:sz w:val="22"/>
              </w:rPr>
              <w:t>$6,163M</w:t>
            </w:r>
          </w:p>
        </w:tc>
        <w:tc>
          <w:tcPr>
            <w:tcW w:type="dxa" w:w="1080"/>
          </w:tcPr>
          <w:p>
            <w:r>
              <w:rPr>
                <w:rFonts w:ascii="Calibri" w:hAnsi="Calibri"/>
                <w:sz w:val="22"/>
              </w:rPr>
              <w:t>$6,175M</w:t>
            </w:r>
          </w:p>
        </w:tc>
        <w:tc>
          <w:tcPr>
            <w:tcW w:type="dxa" w:w="1080"/>
          </w:tcPr>
          <w:p>
            <w:r>
              <w:rPr>
                <w:rFonts w:ascii="Calibri" w:hAnsi="Calibri"/>
                <w:sz w:val="22"/>
              </w:rPr>
              <w:t>+0.2%</w:t>
            </w:r>
          </w:p>
        </w:tc>
        <w:tc>
          <w:tcPr>
            <w:tcW w:type="dxa" w:w="1080"/>
          </w:tcPr>
          <w:p>
            <w:r>
              <w:rPr>
                <w:rFonts w:ascii="Calibri" w:hAnsi="Calibri"/>
                <w:sz w:val="22"/>
              </w:rPr>
              <w:t>No explicit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Gross Profit — 1Q FY2027</w:t>
            </w:r>
          </w:p>
        </w:tc>
        <w:tc>
          <w:tcPr>
            <w:tcW w:type="dxa" w:w="1080"/>
          </w:tcPr>
          <w:p>
            <w:r>
              <w:rPr>
                <w:rFonts w:ascii="Calibri" w:hAnsi="Calibri"/>
                <w:sz w:val="22"/>
              </w:rPr>
              <w:t>$916M</w:t>
            </w:r>
          </w:p>
        </w:tc>
        <w:tc>
          <w:tcPr>
            <w:tcW w:type="dxa" w:w="1080"/>
          </w:tcPr>
          <w:p>
            <w:r>
              <w:rPr>
                <w:rFonts w:ascii="Calibri" w:hAnsi="Calibri"/>
                <w:sz w:val="22"/>
              </w:rPr>
              <w:t>$916M</w:t>
            </w:r>
          </w:p>
        </w:tc>
        <w:tc>
          <w:tcPr>
            <w:tcW w:type="dxa" w:w="1080"/>
          </w:tcPr>
          <w:p>
            <w:r>
              <w:rPr>
                <w:rFonts w:ascii="Calibri" w:hAnsi="Calibri"/>
                <w:sz w:val="22"/>
              </w:rPr>
              <w:t>0.0%</w:t>
            </w:r>
          </w:p>
        </w:tc>
        <w:tc>
          <w:tcPr>
            <w:tcW w:type="dxa" w:w="1080"/>
          </w:tcPr>
          <w:p>
            <w:r>
              <w:rPr>
                <w:rFonts w:ascii="Calibri" w:hAnsi="Calibri"/>
                <w:sz w:val="22"/>
              </w:rPr>
              <w:t>62.25%–63.25% (62.75%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+0.2pp vs. midpoint</w:t>
            </w:r>
          </w:p>
        </w:tc>
      </w:tr>
    </w:tbl>
    <w:p>
      <w:r>
        <w:rPr>
          <w:rFonts w:ascii="Calibri" w:hAnsi="Calibri"/>
          <w:b/>
          <w:color w:val="525866"/>
          <w:sz w:val="22"/>
        </w:rPr>
        <w:t xml:space="preserve">Source: </w:t>
      </w:r>
      <w:r>
        <w:rPr>
          <w:rFonts w:ascii="Calibri" w:hAnsi="Calibri"/>
          <w:color w:val="525866"/>
          <w:sz w:val="22"/>
        </w:rPr>
        <w:t>Visible Alpha Consensus and Actuals Data. The post-earnings estimate baseline (as of ~May 14, 2026) reflects the consensus as of 5 trading days after the May 7 earnings release. The large jump in 1Q FY2027 EPS consensus from the pre-earnings level (~$0.38 in April 2026) to $0.70 post-earnings reflects the magnitude of the May 7 beat and the upward guidance revision. Estimates have been stable since the initial post-earnings reset, suggesting the Street has fully digested the guidance and is not pricing in incremental upside — the burden of proof is on management to deliver at or above the top of the guided range.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MCHP has </w:t>
      </w:r>
      <w:r>
        <w:rPr>
          <w:rFonts w:ascii="Calibri" w:hAnsi="Calibri"/>
          <w:b/>
          <w:color w:val="525866"/>
          <w:sz w:val="22"/>
        </w:rPr>
        <w:t>significantly underperformed SOXX since the May 7 earnings beat</w:t>
      </w:r>
      <w:r>
        <w:rPr>
          <w:rFonts w:ascii="Calibri" w:hAnsi="Calibri"/>
          <w:color w:val="525866"/>
          <w:sz w:val="22"/>
        </w:rPr>
        <w:t>, declining ~23% from its post-earnings peak of ~$103 to ~$80 as of August 4, while SOXX is roughly flat over the same period. The underperformance is multiple-driven (NTM EV/EBITDA compressed from ~25x to ~18x over 3 months) rather than estimate-driven, suggesting investor skepticism about the pace of the PCIe Gen 6 ramp, the COO departure, and broader semi sector rotation — not a deterioration in fundamentals.</w:t>
      </w:r>
    </w:p>
    <w:p>
      <w:r>
        <w:rPr>
          <w:rFonts w:ascii="Calibri" w:hAnsi="Calibri"/>
          <w:b/>
          <w:color w:val="525866"/>
          <w:sz w:val="22"/>
        </w:rPr>
        <w:t xml:space="preserve">Benchmark: </w:t>
      </w:r>
      <w:r>
        <w:rPr>
          <w:rFonts w:ascii="Calibri" w:hAnsi="Calibri"/>
          <w:color w:val="525866"/>
          <w:sz w:val="22"/>
        </w:rPr>
        <w:t>iShares Semiconductor ETF (SOXX) — appropriate sub-sector benchmark for MCHP as a broadline semiconductor supplier with significant analog, microcontroller, and connectivity exposure. S&amp;P 500 (SPY) included as broad market reference.</w:t>
      </w:r>
    </w:p>
    <w:p>
      <w:r>
        <w:rPr>
          <w:rFonts w:ascii="Calibri" w:hAnsi="Calibri"/>
          <w:color w:val="525866"/>
          <w:sz w:val="22"/>
        </w:rPr>
        <w:t>Chart: MCHP vs. SOXX vs. S&amp;P 500 — Indexed to 100 at May 7, 2026 (Last Earnings Date) through August 4, 2026. All three series indexed to 100 at the May 7, 2026 close. MCHP (dark navy solid line), SOXX (mid-grey dashed line), SPY (light grey dashed line). Key events marked: June 2 — BofA Conference / Pricing Strategy Announcement; June 9 — Mizuho Conference; July 23 — COO Resignation (8-K).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MCHP Return</w:t>
            </w:r>
          </w:p>
        </w:tc>
        <w:tc>
          <w:tcPr>
            <w:tcW w:type="dxa" w:w="1728"/>
            <w:shd w:val="clear" w:color="auto" w:fill="3B4259"/>
          </w:tcPr>
          <w:p>
            <w:r>
              <w:rPr>
                <w:rFonts w:ascii="Calibri" w:hAnsi="Calibri"/>
                <w:b/>
                <w:color w:val="FFFFFF"/>
                <w:sz w:val="22"/>
              </w:rPr>
              <w:t>SOXX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MCHP vs. SOXX</w:t>
            </w:r>
          </w:p>
        </w:tc>
      </w:tr>
      <w:tr>
        <w:tc>
          <w:tcPr>
            <w:tcW w:type="dxa" w:w="1728"/>
          </w:tcPr>
          <w:p>
            <w:r>
              <w:rPr>
                <w:rFonts w:ascii="Calibri" w:hAnsi="Calibri"/>
                <w:sz w:val="22"/>
              </w:rPr>
              <w:t>Since May 7 Earnings (to Aug 4)</w:t>
            </w:r>
          </w:p>
        </w:tc>
        <w:tc>
          <w:tcPr>
            <w:tcW w:type="dxa" w:w="1728"/>
          </w:tcPr>
          <w:p>
            <w:r>
              <w:rPr>
                <w:rFonts w:ascii="Calibri" w:hAnsi="Calibri"/>
                <w:b/>
                <w:color w:val="E5484D"/>
                <w:sz w:val="22"/>
              </w:rPr>
              <w:t>-20.6%</w:t>
            </w:r>
          </w:p>
        </w:tc>
        <w:tc>
          <w:tcPr>
            <w:tcW w:type="dxa" w:w="1728"/>
          </w:tcPr>
          <w:p>
            <w:r>
              <w:rPr>
                <w:rFonts w:ascii="Calibri" w:hAnsi="Calibri"/>
                <w:sz w:val="22"/>
              </w:rPr>
              <w:t>+10.1%</w:t>
            </w:r>
          </w:p>
        </w:tc>
        <w:tc>
          <w:tcPr>
            <w:tcW w:type="dxa" w:w="1728"/>
          </w:tcPr>
          <w:p>
            <w:r>
              <w:rPr>
                <w:rFonts w:ascii="Calibri" w:hAnsi="Calibri"/>
                <w:sz w:val="22"/>
              </w:rPr>
              <w:t>+5.4%</w:t>
            </w:r>
          </w:p>
        </w:tc>
        <w:tc>
          <w:tcPr>
            <w:tcW w:type="dxa" w:w="1728"/>
          </w:tcPr>
          <w:p>
            <w:r>
              <w:rPr>
                <w:rFonts w:ascii="Calibri" w:hAnsi="Calibri"/>
                <w:b/>
                <w:color w:val="E5484D"/>
                <w:sz w:val="22"/>
              </w:rPr>
              <w:t>-30.7pp</w:t>
            </w:r>
          </w:p>
        </w:tc>
      </w:tr>
      <w:tr>
        <w:tc>
          <w:tcPr>
            <w:tcW w:type="dxa" w:w="1728"/>
          </w:tcPr>
          <w:p>
            <w:r>
              <w:rPr>
                <w:rFonts w:ascii="Calibri" w:hAnsi="Calibri"/>
                <w:sz w:val="22"/>
              </w:rPr>
              <w:t>Peak (Jun 22) to Aug 4</w:t>
            </w:r>
          </w:p>
        </w:tc>
        <w:tc>
          <w:tcPr>
            <w:tcW w:type="dxa" w:w="1728"/>
          </w:tcPr>
          <w:p>
            <w:r>
              <w:rPr>
                <w:rFonts w:ascii="Calibri" w:hAnsi="Calibri"/>
                <w:sz w:val="22"/>
              </w:rPr>
              <w:t>-21.5% (from $102.71)</w:t>
            </w:r>
          </w:p>
        </w:tc>
        <w:tc>
          <w:tcPr>
            <w:tcW w:type="dxa" w:w="1728"/>
          </w:tcPr>
          <w:p>
            <w:r>
              <w:rPr>
                <w:rFonts w:ascii="Calibri" w:hAnsi="Calibri"/>
                <w:sz w:val="22"/>
              </w:rPr>
              <w:t>-17.3%</w:t>
            </w:r>
          </w:p>
        </w:tc>
        <w:tc>
          <w:tcPr>
            <w:tcW w:type="dxa" w:w="1728"/>
          </w:tcPr>
          <w:p>
            <w:r>
              <w:rPr>
                <w:rFonts w:ascii="Calibri" w:hAnsi="Calibri"/>
                <w:sz w:val="22"/>
              </w:rPr>
              <w:t>+3.4%</w:t>
            </w:r>
          </w:p>
        </w:tc>
        <w:tc>
          <w:tcPr>
            <w:tcW w:type="dxa" w:w="1728"/>
          </w:tcPr>
          <w:p>
            <w:r>
              <w:rPr>
                <w:rFonts w:ascii="Calibri" w:hAnsi="Calibri"/>
                <w:sz w:val="22"/>
              </w:rPr>
              <w:t>-4.2pp</w:t>
            </w:r>
          </w:p>
        </w:tc>
      </w:tr>
      <w:tr>
        <w:tc>
          <w:tcPr>
            <w:tcW w:type="dxa" w:w="1728"/>
          </w:tcPr>
          <w:p>
            <w:r>
              <w:rPr>
                <w:rFonts w:ascii="Calibri" w:hAnsi="Calibri"/>
                <w:sz w:val="22"/>
              </w:rPr>
              <w:t>1-Month (to Aug 4)</w:t>
            </w:r>
          </w:p>
        </w:tc>
        <w:tc>
          <w:tcPr>
            <w:tcW w:type="dxa" w:w="1728"/>
          </w:tcPr>
          <w:p>
            <w:r>
              <w:rPr>
                <w:rFonts w:ascii="Calibri" w:hAnsi="Calibri"/>
                <w:sz w:val="22"/>
              </w:rPr>
              <w:t>-7.5%</w:t>
            </w:r>
          </w:p>
        </w:tc>
        <w:tc>
          <w:tcPr>
            <w:tcW w:type="dxa" w:w="1728"/>
          </w:tcPr>
          <w:p>
            <w:r>
              <w:rPr>
                <w:rFonts w:ascii="Calibri" w:hAnsi="Calibri"/>
                <w:sz w:val="22"/>
              </w:rPr>
              <w:t>-2.2%</w:t>
            </w:r>
          </w:p>
        </w:tc>
        <w:tc>
          <w:tcPr>
            <w:tcW w:type="dxa" w:w="1728"/>
          </w:tcPr>
          <w:p>
            <w:r>
              <w:rPr>
                <w:rFonts w:ascii="Calibri" w:hAnsi="Calibri"/>
                <w:sz w:val="22"/>
              </w:rPr>
              <w:t>+5.4%</w:t>
            </w:r>
          </w:p>
        </w:tc>
        <w:tc>
          <w:tcPr>
            <w:tcW w:type="dxa" w:w="1728"/>
          </w:tcPr>
          <w:p>
            <w:r>
              <w:rPr>
                <w:rFonts w:ascii="Calibri" w:hAnsi="Calibri"/>
                <w:sz w:val="22"/>
              </w:rPr>
              <w:t>-5.3pp</w:t>
            </w:r>
          </w:p>
        </w:tc>
      </w:tr>
    </w:tbl>
    <w:p>
      <w:r>
        <w:rPr>
          <w:rFonts w:ascii="Calibri" w:hAnsi="Calibri"/>
          <w:b/>
          <w:color w:val="525866"/>
          <w:sz w:val="22"/>
        </w:rPr>
        <w:t xml:space="preserve">Source: </w:t>
      </w:r>
      <w:r>
        <w:rPr>
          <w:rFonts w:ascii="Calibri" w:hAnsi="Calibri"/>
          <w:color w:val="525866"/>
          <w:sz w:val="22"/>
        </w:rPr>
        <w:t>Stock Price Data (Yahoo Finance). NTM multiple data from internal stock performance decomposition. MCHP's NTM EV/EBITDA has compressed from ~25x (3 months ago) to ~17.7x currently, while EPS estimates have risen — confirming the underperformance is entirely multiple compression, not estimate cuts. The stock is now trading at a meaningful discount to its recent range, which may represent an attractive entry point if the 1Q FY2027 print confirms the revenue trajectory and PCIe Gen 6 ramp is on track.</w:t>
      </w:r>
    </w:p>
    <w:p>
      <w:r>
        <w:br w:type="page"/>
      </w:r>
    </w:p>
    <w:p>
      <w:pPr>
        <w:pStyle w:val="Heading1"/>
        <w:pBdr>
          <w:bottom w:val="single" w:sz="4" w:space="1" w:color="FB9120"/>
        </w:pBdr>
      </w:pPr>
      <w:r>
        <w:rPr>
          <w:rFonts w:ascii="Calibri" w:hAnsi="Calibri"/>
          <w:b/>
          <w:color w:val="3B4259"/>
          <w:sz w:val="40"/>
        </w:rPr>
        <w:t>6.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constructive</w:t>
      </w:r>
      <w:r>
        <w:rPr>
          <w:rFonts w:ascii="Calibri" w:hAnsi="Calibri"/>
          <w:color w:val="525866"/>
          <w:sz w:val="22"/>
        </w:rPr>
        <w:t xml:space="preserve"> for MCHP's June-quarter setup — TXN, STM, ON, and MPWR all reported strong demand, tightening supply, and extending lead times across industrial, automotive, and data center end markets. The read-through is particularly strong for MCHP's industrial and data center segments. The only cautionary note is MPWR's observation that industrial is "lagging a little bit" relative to data center.</w:t>
      </w:r>
    </w:p>
    <w:p>
      <w:r>
        <w:rPr>
          <w:rFonts w:ascii="Calibri" w:hAnsi="Calibri"/>
          <w:i/>
          <w:color w:val="525866"/>
          <w:sz w:val="22"/>
        </w:rPr>
        <w:t xml:space="preserve">Methodology: </w:t>
      </w:r>
      <w:r>
        <w:rPr>
          <w:rFonts w:ascii="Calibri" w:hAnsi="Calibri"/>
          <w:i/>
          <w:color w:val="525866"/>
          <w:sz w:val="22"/>
        </w:rPr>
        <w:t xml:space="preserve"> Only commentary from June 5 – August 5, 2026 earnings calls and conferences discussing then-current or forward quarters is included. Retrospective commentary about already-reported quarters is excluded. Read-through strength is labeled: </w:t>
      </w:r>
      <w:r>
        <w:rPr>
          <w:rFonts w:ascii="Calibri" w:hAnsi="Calibri"/>
          <w:b/>
          <w:i/>
          <w:color w:val="525866"/>
          <w:sz w:val="22"/>
        </w:rPr>
        <w:t>★★★ Strong | ★★ Moderate | ★ Weak</w:t>
      </w:r>
    </w:p>
    <w:p>
      <w:pPr>
        <w:pStyle w:val="Heading2"/>
      </w:pPr>
      <w:r>
        <w:rPr>
          <w:rFonts w:ascii="Calibri" w:hAnsi="Calibri"/>
          <w:b/>
          <w:color w:val="3B4259"/>
          <w:sz w:val="28"/>
        </w:rPr>
        <w:t>Texas Instruments (TXN) — 2Q 2026 Earnings Call, July 22, 2026</w:t>
      </w:r>
    </w:p>
    <w:p>
      <w:r>
        <w:rPr>
          <w:rFonts w:ascii="Calibri" w:hAnsi="Calibri"/>
          <w:b/>
          <w:color w:val="525866"/>
          <w:sz w:val="22"/>
        </w:rPr>
        <w:t xml:space="preserve">Read-Through Strength: </w:t>
      </w:r>
      <w:r>
        <w:rPr>
          <w:rFonts w:ascii="Calibri" w:hAnsi="Calibri"/>
          <w:color w:val="525866"/>
          <w:sz w:val="22"/>
        </w:rPr>
        <w:t>★★★ Strong (Industrial, Automotive, Data Center, Pricing)</w:t>
      </w:r>
    </w:p>
    <w:p>
      <w:pPr>
        <w:pStyle w:val="ListBullet"/>
        <w:ind w:left="360" w:hanging="360"/>
      </w:pPr>
      <w:r>
        <w:rPr>
          <w:rFonts w:ascii="Calibri" w:hAnsi="Calibri"/>
          <w:b/>
          <w:color w:val="525866"/>
          <w:sz w:val="22"/>
        </w:rPr>
        <w:t xml:space="preserve">Broad demand acceleration across all end markets: </w:t>
      </w:r>
      <w:r>
        <w:rPr>
          <w:rFonts w:ascii="Calibri" w:hAnsi="Calibri"/>
          <w:color w:val="525866"/>
          <w:sz w:val="22"/>
        </w:rPr>
        <w:t xml:space="preserve">CEO Haviv Ilan stated, "Right now, as we stand in July, we see a setup that — of a stronger demand, and it’s broader." He expects Q3 contribution from "all markets" including industrial, data center, and automotive, plus seasonal strength in personal electronics. </w:t>
      </w:r>
    </w:p>
    <w:p>
      <w:pPr>
        <w:pStyle w:val="ListBullet"/>
        <w:ind w:left="360" w:hanging="360"/>
      </w:pPr>
      <w:r>
        <w:rPr>
          <w:rFonts w:ascii="Calibri" w:hAnsi="Calibri"/>
          <w:b/>
          <w:color w:val="525866"/>
          <w:sz w:val="22"/>
        </w:rPr>
        <w:t xml:space="preserve">Industrial up 30% YoY, 10% QoQ: </w:t>
      </w:r>
      <w:r>
        <w:rPr>
          <w:rFonts w:ascii="Calibri" w:hAnsi="Calibri"/>
          <w:color w:val="525866"/>
          <w:sz w:val="22"/>
        </w:rPr>
        <w:t xml:space="preserve">TXN reported industrial grew ~30% year-on-year and ~10% sequentially in 2Q, with Ilan noting the market is "still 5 or 6 points lower than the 2022 peak" and expecting "mid- to high single-digit growth" in the TAM. Energy infrastructure and test &amp; measurement were the fastest-growing sub-segments, driven by data center tailwinds. </w:t>
      </w:r>
    </w:p>
    <w:p>
      <w:pPr>
        <w:pStyle w:val="ListBullet"/>
        <w:ind w:left="360" w:hanging="360"/>
      </w:pPr>
      <w:r>
        <w:rPr>
          <w:rFonts w:ascii="Calibri" w:hAnsi="Calibri"/>
          <w:b/>
          <w:color w:val="525866"/>
          <w:sz w:val="22"/>
        </w:rPr>
        <w:t xml:space="preserve">Automotive up mid-teens YoY, upper single digits QoQ: </w:t>
      </w:r>
      <w:r>
        <w:rPr>
          <w:rFonts w:ascii="Calibri" w:hAnsi="Calibri"/>
          <w:color w:val="525866"/>
          <w:sz w:val="22"/>
        </w:rPr>
        <w:t xml:space="preserve">Ilan noted automotive strength "led by China" and "really led by EVs and hybrids," characterizing the setup as "the start of a cycle that is very, very broad." Customer inventories in automotive have been taken to "very low levels" — a direct read-through for MCHP's automotive restocking thesis. </w:t>
      </w:r>
    </w:p>
    <w:p>
      <w:pPr>
        <w:pStyle w:val="ListBullet"/>
        <w:ind w:left="360" w:hanging="360"/>
      </w:pPr>
      <w:r>
        <w:rPr>
          <w:rFonts w:ascii="Calibri" w:hAnsi="Calibri"/>
          <w:b/>
          <w:color w:val="525866"/>
          <w:sz w:val="22"/>
        </w:rPr>
        <w:t xml:space="preserve">Data center doubled YoY, up ~20% QoQ: </w:t>
      </w:r>
      <w:r>
        <w:rPr>
          <w:rFonts w:ascii="Calibri" w:hAnsi="Calibri"/>
          <w:color w:val="525866"/>
          <w:sz w:val="22"/>
        </w:rPr>
        <w:t xml:space="preserve">TXN's data center revenue doubled year-on-year and grew ~20% sequentially, with Ilan expecting "strong demand in the data center market" to continue "in the foreseeable future." 800V DC distribution architectures are expanding the TAM. </w:t>
      </w:r>
    </w:p>
    <w:p>
      <w:pPr>
        <w:pStyle w:val="ListBullet"/>
        <w:ind w:left="360" w:hanging="360"/>
      </w:pPr>
      <w:r>
        <w:rPr>
          <w:rFonts w:ascii="Calibri" w:hAnsi="Calibri"/>
          <w:b/>
          <w:color w:val="525866"/>
          <w:sz w:val="22"/>
        </w:rPr>
        <w:t xml:space="preserve">Price increases underway: </w:t>
      </w:r>
      <w:r>
        <w:rPr>
          <w:rFonts w:ascii="Calibri" w:hAnsi="Calibri"/>
          <w:color w:val="525866"/>
          <w:sz w:val="22"/>
        </w:rPr>
        <w:t xml:space="preserve">Ilan confirmed TXN "has started executing price increases" that "will start to play in Q3" and continue into Q4 and potentially 2027 for annual-contract customers. Pricing was "stable" (flat) in H1, already above the typical annual decline. This validates MCHP’s own pricing strategy announced June 1–2. </w:t>
      </w:r>
    </w:p>
    <w:p>
      <w:pPr>
        <w:pStyle w:val="ListBullet"/>
        <w:ind w:left="360" w:hanging="360"/>
      </w:pPr>
      <w:r>
        <w:rPr>
          <w:rFonts w:ascii="Calibri" w:hAnsi="Calibri"/>
          <w:b/>
          <w:color w:val="525866"/>
          <w:sz w:val="22"/>
        </w:rPr>
        <w:t xml:space="preserve">Backlog building: </w:t>
      </w:r>
      <w:r>
        <w:rPr>
          <w:rFonts w:ascii="Calibri" w:hAnsi="Calibri"/>
          <w:color w:val="525866"/>
          <w:sz w:val="22"/>
        </w:rPr>
        <w:t xml:space="preserve">TXN saw backlog build throughout 2Q, both for immediate shipment and further-out orders, with lead times inching up from below 13 weeks to "a couple of weeks higher" due to growing demand. </w:t>
      </w:r>
    </w:p>
    <w:p>
      <w:pPr>
        <w:pStyle w:val="Heading2"/>
      </w:pPr>
      <w:r>
        <w:rPr>
          <w:rFonts w:ascii="Calibri" w:hAnsi="Calibri"/>
          <w:b/>
          <w:color w:val="3B4259"/>
          <w:sz w:val="28"/>
        </w:rPr>
        <w:t>STMicroelectronics (STM) — 2Q 2026 Earnings Call, July 23, 2026</w:t>
      </w:r>
    </w:p>
    <w:p>
      <w:r>
        <w:rPr>
          <w:rFonts w:ascii="Calibri" w:hAnsi="Calibri"/>
          <w:b/>
          <w:color w:val="525866"/>
          <w:sz w:val="22"/>
        </w:rPr>
        <w:t xml:space="preserve">Read-Through Strength: </w:t>
      </w:r>
      <w:r>
        <w:rPr>
          <w:rFonts w:ascii="Calibri" w:hAnsi="Calibri"/>
          <w:color w:val="525866"/>
          <w:sz w:val="22"/>
        </w:rPr>
        <w:t>★★★ Strong (Industrial Microcontrollers, Automotive, Data Center, Bookings/Lead Times)</w:t>
      </w:r>
    </w:p>
    <w:p>
      <w:pPr>
        <w:pStyle w:val="ListBullet"/>
        <w:ind w:left="360" w:hanging="360"/>
      </w:pPr>
      <w:r>
        <w:rPr>
          <w:rFonts w:ascii="Calibri" w:hAnsi="Calibri"/>
          <w:b/>
          <w:color w:val="525866"/>
          <w:sz w:val="22"/>
        </w:rPr>
        <w:t xml:space="preserve">Book-to-bill close to 2.0 across all end markets: </w:t>
      </w:r>
      <w:r>
        <w:rPr>
          <w:rFonts w:ascii="Calibri" w:hAnsi="Calibri"/>
          <w:color w:val="525866"/>
          <w:sz w:val="22"/>
        </w:rPr>
        <w:t xml:space="preserve">STM reported "demand increased further with strong bookings and book to bill close to two" across all end markets, with well above 50% of Q2 bookings for next year. Total backlog represents "4.5 to 5 quarters of Q2 average revenue" — a dramatic improvement in visibility. </w:t>
      </w:r>
    </w:p>
    <w:p>
      <w:pPr>
        <w:pStyle w:val="ListBullet"/>
        <w:ind w:left="360" w:hanging="360"/>
      </w:pPr>
      <w:r>
        <w:rPr>
          <w:rFonts w:ascii="Calibri" w:hAnsi="Calibri"/>
          <w:b/>
          <w:color w:val="525866"/>
          <w:sz w:val="22"/>
        </w:rPr>
        <w:t xml:space="preserve">Distribution inventory below target: </w:t>
      </w:r>
      <w:r>
        <w:rPr>
          <w:rFonts w:ascii="Calibri" w:hAnsi="Calibri"/>
          <w:color w:val="525866"/>
          <w:sz w:val="22"/>
        </w:rPr>
        <w:t xml:space="preserve">STM noted distribution inventory "further decreased and is now below our standard target" in the industrial segment — a direct read-through for MCHP's distribution restocking thesis. </w:t>
      </w:r>
    </w:p>
    <w:p>
      <w:pPr>
        <w:pStyle w:val="ListBullet"/>
        <w:ind w:left="360" w:hanging="360"/>
      </w:pPr>
      <w:r>
        <w:rPr>
          <w:rFonts w:ascii="Calibri" w:hAnsi="Calibri"/>
          <w:b/>
          <w:color w:val="525866"/>
          <w:sz w:val="22"/>
        </w:rPr>
        <w:t xml:space="preserve">General-purpose microcontroller supply tightening: </w:t>
      </w:r>
      <w:r>
        <w:rPr>
          <w:rFonts w:ascii="Calibri" w:hAnsi="Calibri"/>
          <w:color w:val="525866"/>
          <w:sz w:val="22"/>
        </w:rPr>
        <w:t xml:space="preserve">STM flagged "some tension on the supply and increasingly [lead] time" for general-purpose microcontrollers, driven by the solid recovery of the overall industrial market. This is a direct and strong read-through for MCHP as the leading microcontroller supplier. </w:t>
      </w:r>
    </w:p>
    <w:p>
      <w:pPr>
        <w:pStyle w:val="ListBullet"/>
        <w:ind w:left="360" w:hanging="360"/>
      </w:pPr>
      <w:r>
        <w:rPr>
          <w:rFonts w:ascii="Calibri" w:hAnsi="Calibri"/>
          <w:b/>
          <w:color w:val="525866"/>
          <w:sz w:val="22"/>
        </w:rPr>
        <w:t xml:space="preserve">Industrial up 20% QoQ, 34% YoY; accelerating to ~40% YoY in Q4: </w:t>
      </w:r>
      <w:r>
        <w:rPr>
          <w:rFonts w:ascii="Calibri" w:hAnsi="Calibri"/>
          <w:color w:val="525866"/>
          <w:sz w:val="22"/>
        </w:rPr>
        <w:t xml:space="preserve">STM's industrial segment grew 20% sequentially and 34% year-on-year in Q2, driven by general-purpose microcontrollers and analog. STM expects close to 40% year-on-year growth in Q4. </w:t>
      </w:r>
    </w:p>
    <w:p>
      <w:pPr>
        <w:pStyle w:val="ListBullet"/>
        <w:ind w:left="360" w:hanging="360"/>
      </w:pPr>
      <w:r>
        <w:rPr>
          <w:rFonts w:ascii="Calibri" w:hAnsi="Calibri"/>
          <w:b/>
          <w:color w:val="525866"/>
          <w:sz w:val="22"/>
        </w:rPr>
        <w:t xml:space="preserve">Automotive up 14% QoQ, 16% YoY: </w:t>
      </w:r>
      <w:r>
        <w:rPr>
          <w:rFonts w:ascii="Calibri" w:hAnsi="Calibri"/>
          <w:color w:val="525866"/>
          <w:sz w:val="22"/>
        </w:rPr>
        <w:t xml:space="preserve">STM's automotive revenues came in "better than expected," with the company expecting to achieve the industry's ~13–14% year-on-year growth rate for the full year. </w:t>
      </w:r>
    </w:p>
    <w:p>
      <w:pPr>
        <w:pStyle w:val="ListBullet"/>
        <w:ind w:left="360" w:hanging="360"/>
      </w:pPr>
      <w:r>
        <w:rPr>
          <w:rFonts w:ascii="Calibri" w:hAnsi="Calibri"/>
          <w:b/>
          <w:color w:val="525866"/>
          <w:sz w:val="22"/>
        </w:rPr>
        <w:t xml:space="preserve">Data center (communication equipment &amp; computer peripherals) up 13% QoQ, 50% YoY; accelerating to ~90% YoY in Q4: </w:t>
      </w:r>
      <w:r>
        <w:rPr>
          <w:rFonts w:ascii="Calibri" w:hAnsi="Calibri"/>
          <w:color w:val="525866"/>
          <w:sz w:val="22"/>
        </w:rPr>
        <w:t xml:space="preserve">STM raised its data center revenue ambition to "above $1 billion in 2026" and "well above $2 billion in 2027," driven by optical connectivity, silicon photonics, and microcontrollers for cloud AI power stages. </w:t>
      </w:r>
    </w:p>
    <w:p>
      <w:pPr>
        <w:pStyle w:val="ListBullet"/>
        <w:ind w:left="360" w:hanging="360"/>
      </w:pPr>
      <w:r>
        <w:rPr>
          <w:rFonts w:ascii="Calibri" w:hAnsi="Calibri"/>
          <w:b/>
          <w:color w:val="525866"/>
          <w:sz w:val="22"/>
        </w:rPr>
        <w:t xml:space="preserve">Pricing: cost pass-through offsetting input cost increases: </w:t>
      </w:r>
      <w:r>
        <w:rPr>
          <w:rFonts w:ascii="Calibri" w:hAnsi="Calibri"/>
          <w:color w:val="525866"/>
          <w:sz w:val="22"/>
        </w:rPr>
        <w:t xml:space="preserve">STM is implementing price increases on selected products, with the net effect "more or less offsetting" input cost increases — consistent with MCHP's stated approach. </w:t>
      </w:r>
    </w:p>
    <w:p>
      <w:pPr>
        <w:pStyle w:val="Heading2"/>
      </w:pPr>
      <w:r>
        <w:rPr>
          <w:rFonts w:ascii="Calibri" w:hAnsi="Calibri"/>
          <w:b/>
          <w:color w:val="3B4259"/>
          <w:sz w:val="28"/>
        </w:rPr>
        <w:t>ON Semiconductor (ON) — 2Q 2026 Earnings Call, August 3, 2026</w:t>
      </w:r>
    </w:p>
    <w:p>
      <w:r>
        <w:rPr>
          <w:rFonts w:ascii="Calibri" w:hAnsi="Calibri"/>
          <w:b/>
          <w:color w:val="525866"/>
          <w:sz w:val="22"/>
        </w:rPr>
        <w:t xml:space="preserve">Read-Through Strength: </w:t>
      </w:r>
      <w:r>
        <w:rPr>
          <w:rFonts w:ascii="Calibri" w:hAnsi="Calibri"/>
          <w:color w:val="525866"/>
          <w:sz w:val="22"/>
        </w:rPr>
        <w:t>★★★ Strong (Automotive, Industrial, Data Center, Pricing, Supply Tightening)</w:t>
      </w:r>
    </w:p>
    <w:p>
      <w:pPr>
        <w:pStyle w:val="ListBullet"/>
        <w:ind w:left="360" w:hanging="360"/>
      </w:pPr>
      <w:r>
        <w:rPr>
          <w:rFonts w:ascii="Calibri" w:hAnsi="Calibri"/>
          <w:b/>
          <w:color w:val="525866"/>
          <w:sz w:val="22"/>
        </w:rPr>
        <w:t xml:space="preserve">Recovery taking shape with multiple demand indicators strengthening: </w:t>
      </w:r>
      <w:r>
        <w:rPr>
          <w:rFonts w:ascii="Calibri" w:hAnsi="Calibri"/>
          <w:color w:val="525866"/>
          <w:sz w:val="22"/>
        </w:rPr>
        <w:t xml:space="preserve">CEO Hassan El-Khoury stated, "the recovery continued to take shape during the quarter with continued strength in our AI data center business. We also saw multiple indicators of strengthening demand with China, BEVs and automotive, for example, and energy infrastructure and medical and industrial already showing over market growth." </w:t>
      </w:r>
    </w:p>
    <w:p>
      <w:pPr>
        <w:pStyle w:val="ListBullet"/>
        <w:ind w:left="360" w:hanging="360"/>
      </w:pPr>
      <w:r>
        <w:rPr>
          <w:rFonts w:ascii="Calibri" w:hAnsi="Calibri"/>
          <w:b/>
          <w:color w:val="525866"/>
          <w:sz w:val="22"/>
        </w:rPr>
        <w:t xml:space="preserve">Lead times extending from 27 to 32 weeks; book-to-bill significantly above 1: </w:t>
      </w:r>
      <w:r>
        <w:rPr>
          <w:rFonts w:ascii="Calibri" w:hAnsi="Calibri"/>
          <w:color w:val="525866"/>
          <w:sz w:val="22"/>
        </w:rPr>
        <w:t xml:space="preserve">CFO Thad Trent noted lead times stretched from ~27 to ~32 weeks on average, with book-to-bill "significantly above one for several quarters and continued to strengthen." Customer escalations and orders placed within lead time are increasing — "all signs of a healthy recovery across the board." </w:t>
      </w:r>
    </w:p>
    <w:p>
      <w:pPr>
        <w:pStyle w:val="ListBullet"/>
        <w:ind w:left="360" w:hanging="360"/>
      </w:pPr>
      <w:r>
        <w:rPr>
          <w:rFonts w:ascii="Calibri" w:hAnsi="Calibri"/>
          <w:b/>
          <w:color w:val="525866"/>
          <w:sz w:val="22"/>
        </w:rPr>
        <w:t xml:space="preserve">Distribution inventory declining; sell-through outpacing sell-in: </w:t>
      </w:r>
      <w:r>
        <w:rPr>
          <w:rFonts w:ascii="Calibri" w:hAnsi="Calibri"/>
          <w:color w:val="525866"/>
          <w:sz w:val="22"/>
        </w:rPr>
        <w:t xml:space="preserve">Distribution inventory declined to 10.1 weeks from 10.8 in Q1, with sell-through outpacing sell-in. Mass market revenue increased 20% sequentially. </w:t>
      </w:r>
    </w:p>
    <w:p>
      <w:pPr>
        <w:pStyle w:val="ListBullet"/>
        <w:ind w:left="360" w:hanging="360"/>
      </w:pPr>
      <w:r>
        <w:rPr>
          <w:rFonts w:ascii="Calibri" w:hAnsi="Calibri"/>
          <w:b/>
          <w:color w:val="525866"/>
          <w:sz w:val="22"/>
        </w:rPr>
        <w:t xml:space="preserve">Second round of price increases underway: </w:t>
      </w:r>
      <w:r>
        <w:rPr>
          <w:rFonts w:ascii="Calibri" w:hAnsi="Calibri"/>
          <w:color w:val="525866"/>
          <w:sz w:val="22"/>
        </w:rPr>
        <w:t xml:space="preserve">Trent confirmed ON is "implementing a second round of price increases to offset" rising input costs in raw materials and external manufacturing, with benefits expected "over the next several quarters." This is a strong read-through validating MCHP's pricing strategy. </w:t>
      </w:r>
    </w:p>
    <w:p>
      <w:pPr>
        <w:pStyle w:val="ListBullet"/>
        <w:ind w:left="360" w:hanging="360"/>
      </w:pPr>
      <w:r>
        <w:rPr>
          <w:rFonts w:ascii="Calibri" w:hAnsi="Calibri"/>
          <w:b/>
          <w:color w:val="525866"/>
          <w:sz w:val="22"/>
        </w:rPr>
        <w:t xml:space="preserve">Automotive stable with strong China EV growth: </w:t>
      </w:r>
      <w:r>
        <w:rPr>
          <w:rFonts w:ascii="Calibri" w:hAnsi="Calibri"/>
          <w:color w:val="525866"/>
          <w:sz w:val="22"/>
        </w:rPr>
        <w:t xml:space="preserve">Automotive revenue was down 2% QoQ (European seasonality) but up 7% YoY, with Q3 expected "up low single digits." Silicon carbide revenue in China EVs expected to grow 60–70% YoY. </w:t>
      </w:r>
    </w:p>
    <w:p>
      <w:pPr>
        <w:pStyle w:val="ListBullet"/>
        <w:ind w:left="360" w:hanging="360"/>
      </w:pPr>
      <w:r>
        <w:rPr>
          <w:rFonts w:ascii="Calibri" w:hAnsi="Calibri"/>
          <w:b/>
          <w:color w:val="525866"/>
          <w:sz w:val="22"/>
        </w:rPr>
        <w:t xml:space="preserve">AI data center revenue to more than double in 2026: </w:t>
      </w:r>
      <w:r>
        <w:rPr>
          <w:rFonts w:ascii="Calibri" w:hAnsi="Calibri"/>
          <w:color w:val="525866"/>
          <w:sz w:val="22"/>
        </w:rPr>
        <w:t xml:space="preserve">ON raised its AI data center revenue outlook to "more than double in 2026," driven by broader customer wins and expanding content across the power tree. Q3 "other" (including AI data center) expected "up high teens" percentage. </w:t>
      </w:r>
    </w:p>
    <w:p>
      <w:pPr>
        <w:pStyle w:val="ListBullet"/>
        <w:ind w:left="360" w:hanging="360"/>
      </w:pPr>
      <w:r>
        <w:rPr>
          <w:rFonts w:ascii="Calibri" w:hAnsi="Calibri"/>
          <w:b/>
          <w:color w:val="525866"/>
          <w:sz w:val="22"/>
        </w:rPr>
        <w:t xml:space="preserve">Utilization rising; gross margin expansion expected: </w:t>
      </w:r>
      <w:r>
        <w:rPr>
          <w:rFonts w:ascii="Calibri" w:hAnsi="Calibri"/>
          <w:color w:val="525866"/>
          <w:sz w:val="22"/>
        </w:rPr>
        <w:t xml:space="preserve">Utilization increased to 83% from 77% in Q2, with Q3 expected "flat to up." ON guided Q3 non-GAAP gross margin of 40–42%, a "significant step up" driven by utilization improvement. Every 1pp of utilization = 25–30bps of gross margin improvement — a framework directly applicable to MCHP's own underutilization charge reduction story. </w:t>
      </w:r>
    </w:p>
    <w:p>
      <w:pPr>
        <w:pStyle w:val="Heading2"/>
      </w:pPr>
      <w:r>
        <w:rPr>
          <w:rFonts w:ascii="Calibri" w:hAnsi="Calibri"/>
          <w:b/>
          <w:color w:val="3B4259"/>
          <w:sz w:val="28"/>
        </w:rPr>
        <w:t>Monolithic Power Systems (MPWR) — 2Q 2026 Earnings Call, July 30, 2026</w:t>
      </w:r>
    </w:p>
    <w:p>
      <w:r>
        <w:rPr>
          <w:rFonts w:ascii="Calibri" w:hAnsi="Calibri"/>
          <w:b/>
          <w:color w:val="525866"/>
          <w:sz w:val="22"/>
        </w:rPr>
        <w:t xml:space="preserve">Read-Through Strength: </w:t>
      </w:r>
      <w:r>
        <w:rPr>
          <w:rFonts w:ascii="Calibri" w:hAnsi="Calibri"/>
          <w:color w:val="525866"/>
          <w:sz w:val="22"/>
        </w:rPr>
        <w:t>★★ Moderate (Data Center Strong; Industrial Lagging; Automotive Ramping)</w:t>
      </w:r>
    </w:p>
    <w:p>
      <w:pPr>
        <w:pStyle w:val="ListBullet"/>
        <w:ind w:left="360" w:hanging="360"/>
      </w:pPr>
      <w:r>
        <w:rPr>
          <w:rFonts w:ascii="Calibri" w:hAnsi="Calibri"/>
          <w:b/>
          <w:color w:val="525866"/>
          <w:sz w:val="22"/>
        </w:rPr>
        <w:t xml:space="preserve">Data center demand surging; full-year growth floor raised to 130% YoY: </w:t>
      </w:r>
      <w:r>
        <w:rPr>
          <w:rFonts w:ascii="Calibri" w:hAnsi="Calibri"/>
          <w:color w:val="525866"/>
          <w:sz w:val="22"/>
        </w:rPr>
        <w:t xml:space="preserve">MPWR raised its enterprise data full-year growth floor from 85% to 130% year-on-year, citing "strong broad based ordering patterns." Book-to-bill was "well above one" and the company has "more than a quarter type visibility" in demand. </w:t>
      </w:r>
    </w:p>
    <w:p>
      <w:pPr>
        <w:pStyle w:val="ListBullet"/>
        <w:ind w:left="360" w:hanging="360"/>
      </w:pPr>
      <w:r>
        <w:rPr>
          <w:rFonts w:ascii="Calibri" w:hAnsi="Calibri"/>
          <w:b/>
          <w:color w:val="525866"/>
          <w:sz w:val="22"/>
        </w:rPr>
        <w:t xml:space="preserve">Channel inventory very low in enterprise data: </w:t>
      </w:r>
      <w:r>
        <w:rPr>
          <w:rFonts w:ascii="Calibri" w:hAnsi="Calibri"/>
          <w:color w:val="525866"/>
          <w:sz w:val="22"/>
        </w:rPr>
        <w:t xml:space="preserve">MPWR noted channel inventory "remains very low" in enterprise data, with sell-through continuing. This indicates demand is being met by consumption, not inventory build — a positive read-through for MCHP's data center products. </w:t>
      </w:r>
    </w:p>
    <w:p>
      <w:pPr>
        <w:pStyle w:val="ListBullet"/>
        <w:ind w:left="360" w:hanging="360"/>
      </w:pPr>
      <w:r>
        <w:rPr>
          <w:rFonts w:ascii="Calibri" w:hAnsi="Calibri"/>
          <w:b/>
          <w:color w:val="525866"/>
          <w:sz w:val="22"/>
        </w:rPr>
        <w:t xml:space="preserve">Automotive second-half ramp broadly based: </w:t>
      </w:r>
      <w:r>
        <w:rPr>
          <w:rFonts w:ascii="Calibri" w:hAnsi="Calibri"/>
          <w:color w:val="525866"/>
          <w:sz w:val="22"/>
        </w:rPr>
        <w:t xml:space="preserve">MPWR expects automotive to grow "mid teens" year-on-year for the full year, with the second half ramp "very broadly based" across ADAS, 48V systems, battery management, and lidar. </w:t>
      </w:r>
    </w:p>
    <w:p>
      <w:pPr>
        <w:pStyle w:val="ListBullet"/>
        <w:ind w:left="360" w:hanging="360"/>
      </w:pPr>
      <w:r>
        <w:rPr>
          <w:rFonts w:ascii="Calibri" w:hAnsi="Calibri"/>
          <w:b/>
          <w:color w:val="525866"/>
          <w:sz w:val="22"/>
        </w:rPr>
        <w:t xml:space="preserve">Industrial lagging; primarily a design-win year: </w:t>
      </w:r>
      <w:r>
        <w:rPr>
          <w:rFonts w:ascii="Calibri" w:hAnsi="Calibri"/>
          <w:color w:val="525866"/>
          <w:sz w:val="22"/>
        </w:rPr>
        <w:t xml:space="preserve">MPWR noted industrial is "kind of lagging a little bit" and characterized 2026 as primarily a "design win type year" for industrial, with modest sequential growth expected in Q3. This is a mild cautionary read-through for MCHP's industrial segment, though MCHP's industrial exposure is broader and more diversified. </w:t>
      </w:r>
    </w:p>
    <w:p>
      <w:pPr>
        <w:pStyle w:val="ListBullet"/>
        <w:ind w:left="360" w:hanging="360"/>
      </w:pPr>
      <w:r>
        <w:rPr>
          <w:rFonts w:ascii="Calibri" w:hAnsi="Calibri"/>
          <w:b/>
          <w:color w:val="525866"/>
          <w:sz w:val="22"/>
        </w:rPr>
        <w:t xml:space="preserve">Capacity expansion well beyond $6B to support future growth: </w:t>
      </w:r>
      <w:r>
        <w:rPr>
          <w:rFonts w:ascii="Calibri" w:hAnsi="Calibri"/>
          <w:color w:val="525866"/>
          <w:sz w:val="22"/>
        </w:rPr>
        <w:t xml:space="preserve">MPWR extended its capacity goals "significantly beyond $6 billion," focusing on both foundry and complex back-end capacity for modules and solutions. This signals strong industry confidence in sustained long-term demand. </w:t>
      </w:r>
    </w:p>
    <w:p>
      <w:pPr>
        <w:pStyle w:val="ListBullet"/>
        <w:ind w:left="360" w:hanging="360"/>
      </w:pPr>
      <w:r>
        <w:rPr>
          <w:rFonts w:ascii="Calibri" w:hAnsi="Calibri"/>
          <w:b/>
          <w:color w:val="525866"/>
          <w:sz w:val="22"/>
        </w:rPr>
        <w:t xml:space="preserve">Agentic AI driving incremental CPU demand: </w:t>
      </w:r>
      <w:r>
        <w:rPr>
          <w:rFonts w:ascii="Calibri" w:hAnsi="Calibri"/>
          <w:color w:val="525866"/>
          <w:sz w:val="22"/>
        </w:rPr>
        <w:t xml:space="preserve">MPWR noted "Agentic AI drives further CPU growth" as a tailwind, consistent with MCHP management's commentary about the CPU renaissance benefiting PCIe switch demand. </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TXN (Jul 22)</w:t>
            </w:r>
          </w:p>
        </w:tc>
        <w:tc>
          <w:tcPr>
            <w:tcW w:type="dxa" w:w="1440"/>
            <w:shd w:val="clear" w:color="auto" w:fill="3B4259"/>
          </w:tcPr>
          <w:p>
            <w:r>
              <w:rPr>
                <w:rFonts w:ascii="Calibri" w:hAnsi="Calibri"/>
                <w:b/>
                <w:color w:val="FFFFFF"/>
                <w:sz w:val="22"/>
              </w:rPr>
              <w:t>STM (Jul 23)</w:t>
            </w:r>
          </w:p>
        </w:tc>
        <w:tc>
          <w:tcPr>
            <w:tcW w:type="dxa" w:w="1440"/>
            <w:shd w:val="clear" w:color="auto" w:fill="3B4259"/>
          </w:tcPr>
          <w:p>
            <w:r>
              <w:rPr>
                <w:rFonts w:ascii="Calibri" w:hAnsi="Calibri"/>
                <w:b/>
                <w:color w:val="FFFFFF"/>
                <w:sz w:val="22"/>
              </w:rPr>
              <w:t>ON (Aug 3)</w:t>
            </w:r>
          </w:p>
        </w:tc>
        <w:tc>
          <w:tcPr>
            <w:tcW w:type="dxa" w:w="1440"/>
            <w:shd w:val="clear" w:color="auto" w:fill="3B4259"/>
          </w:tcPr>
          <w:p>
            <w:r>
              <w:rPr>
                <w:rFonts w:ascii="Calibri" w:hAnsi="Calibri"/>
                <w:b/>
                <w:color w:val="FFFFFF"/>
                <w:sz w:val="22"/>
              </w:rPr>
              <w:t>MPWR (Jul 30)</w:t>
            </w:r>
          </w:p>
        </w:tc>
        <w:tc>
          <w:tcPr>
            <w:tcW w:type="dxa" w:w="1440"/>
            <w:shd w:val="clear" w:color="auto" w:fill="3B4259"/>
          </w:tcPr>
          <w:p>
            <w:r>
              <w:rPr>
                <w:rFonts w:ascii="Calibri" w:hAnsi="Calibri"/>
                <w:b/>
                <w:color w:val="FFFFFF"/>
                <w:sz w:val="22"/>
              </w:rPr>
              <w:t>MCHP Read-Through</w:t>
            </w:r>
          </w:p>
        </w:tc>
      </w:tr>
      <w:tr>
        <w:tc>
          <w:tcPr>
            <w:tcW w:type="dxa" w:w="1440"/>
          </w:tcPr>
          <w:p>
            <w:r>
              <w:rPr>
                <w:rFonts w:ascii="Calibri" w:hAnsi="Calibri"/>
                <w:sz w:val="22"/>
              </w:rPr>
              <w:t>Industrial Demand</w:t>
            </w:r>
          </w:p>
        </w:tc>
        <w:tc>
          <w:tcPr>
            <w:tcW w:type="dxa" w:w="1440"/>
          </w:tcPr>
          <w:p>
            <w:r>
              <w:rPr>
                <w:rFonts w:ascii="Calibri" w:hAnsi="Calibri"/>
                <w:sz w:val="22"/>
              </w:rPr>
              <w:t>★★★ +30% YoY</w:t>
            </w:r>
          </w:p>
        </w:tc>
        <w:tc>
          <w:tcPr>
            <w:tcW w:type="dxa" w:w="1440"/>
          </w:tcPr>
          <w:p>
            <w:r>
              <w:rPr>
                <w:rFonts w:ascii="Calibri" w:hAnsi="Calibri"/>
                <w:sz w:val="22"/>
              </w:rPr>
              <w:t>★★★ +34% YoY; ~40% in Q4</w:t>
            </w:r>
          </w:p>
        </w:tc>
        <w:tc>
          <w:tcPr>
            <w:tcW w:type="dxa" w:w="1440"/>
          </w:tcPr>
          <w:p>
            <w:r>
              <w:rPr>
                <w:rFonts w:ascii="Calibri" w:hAnsi="Calibri"/>
                <w:sz w:val="22"/>
              </w:rPr>
              <w:t>★★ +4% YoY; flat Q3</w:t>
            </w:r>
          </w:p>
        </w:tc>
        <w:tc>
          <w:tcPr>
            <w:tcW w:type="dxa" w:w="1440"/>
          </w:tcPr>
          <w:p>
            <w:r>
              <w:rPr>
                <w:rFonts w:ascii="Calibri" w:hAnsi="Calibri"/>
                <w:sz w:val="22"/>
              </w:rPr>
              <w:t>★ Lagging; design-win year</w:t>
            </w:r>
          </w:p>
        </w:tc>
        <w:tc>
          <w:tcPr>
            <w:tcW w:type="dxa" w:w="1440"/>
          </w:tcPr>
          <w:p>
            <w:r>
              <w:rPr>
                <w:rFonts w:ascii="Calibri" w:hAnsi="Calibri"/>
                <w:b/>
                <w:color w:val="30A46C"/>
                <w:sz w:val="22"/>
              </w:rPr>
              <w:t>Positive</w:t>
            </w:r>
          </w:p>
        </w:tc>
      </w:tr>
      <w:tr>
        <w:tc>
          <w:tcPr>
            <w:tcW w:type="dxa" w:w="1440"/>
          </w:tcPr>
          <w:p>
            <w:r>
              <w:rPr>
                <w:rFonts w:ascii="Calibri" w:hAnsi="Calibri"/>
                <w:sz w:val="22"/>
              </w:rPr>
              <w:t>Automotive Demand</w:t>
            </w:r>
          </w:p>
        </w:tc>
        <w:tc>
          <w:tcPr>
            <w:tcW w:type="dxa" w:w="1440"/>
          </w:tcPr>
          <w:p>
            <w:r>
              <w:rPr>
                <w:rFonts w:ascii="Calibri" w:hAnsi="Calibri"/>
                <w:sz w:val="22"/>
              </w:rPr>
              <w:t>★★★ Mid-teens YoY; broad cycle start</w:t>
            </w:r>
          </w:p>
        </w:tc>
        <w:tc>
          <w:tcPr>
            <w:tcW w:type="dxa" w:w="1440"/>
          </w:tcPr>
          <w:p>
            <w:r>
              <w:rPr>
                <w:rFonts w:ascii="Calibri" w:hAnsi="Calibri"/>
                <w:sz w:val="22"/>
              </w:rPr>
              <w:t>★★★ +16% YoY; better than expected</w:t>
            </w:r>
          </w:p>
        </w:tc>
        <w:tc>
          <w:tcPr>
            <w:tcW w:type="dxa" w:w="1440"/>
          </w:tcPr>
          <w:p>
            <w:r>
              <w:rPr>
                <w:rFonts w:ascii="Calibri" w:hAnsi="Calibri"/>
                <w:sz w:val="22"/>
              </w:rPr>
              <w:t>★★ +7% YoY; Q3 up low single digits</w:t>
            </w:r>
          </w:p>
        </w:tc>
        <w:tc>
          <w:tcPr>
            <w:tcW w:type="dxa" w:w="1440"/>
          </w:tcPr>
          <w:p>
            <w:r>
              <w:rPr>
                <w:rFonts w:ascii="Calibri" w:hAnsi="Calibri"/>
                <w:sz w:val="22"/>
              </w:rPr>
              <w:t>★★ Mid-teens YoY; H2 ramp</w:t>
            </w:r>
          </w:p>
        </w:tc>
        <w:tc>
          <w:tcPr>
            <w:tcW w:type="dxa" w:w="1440"/>
          </w:tcPr>
          <w:p>
            <w:r>
              <w:rPr>
                <w:rFonts w:ascii="Calibri" w:hAnsi="Calibri"/>
                <w:b/>
                <w:color w:val="30A46C"/>
                <w:sz w:val="22"/>
              </w:rPr>
              <w:t>Positive</w:t>
            </w:r>
          </w:p>
        </w:tc>
      </w:tr>
      <w:tr>
        <w:tc>
          <w:tcPr>
            <w:tcW w:type="dxa" w:w="1440"/>
          </w:tcPr>
          <w:p>
            <w:r>
              <w:rPr>
                <w:rFonts w:ascii="Calibri" w:hAnsi="Calibri"/>
                <w:sz w:val="22"/>
              </w:rPr>
              <w:t>Data Center Demand</w:t>
            </w:r>
          </w:p>
        </w:tc>
        <w:tc>
          <w:tcPr>
            <w:tcW w:type="dxa" w:w="1440"/>
          </w:tcPr>
          <w:p>
            <w:r>
              <w:rPr>
                <w:rFonts w:ascii="Calibri" w:hAnsi="Calibri"/>
                <w:sz w:val="22"/>
              </w:rPr>
              <w:t>★★★ Doubled YoY; +20% QoQ</w:t>
            </w:r>
          </w:p>
        </w:tc>
        <w:tc>
          <w:tcPr>
            <w:tcW w:type="dxa" w:w="1440"/>
          </w:tcPr>
          <w:p>
            <w:r>
              <w:rPr>
                <w:rFonts w:ascii="Calibri" w:hAnsi="Calibri"/>
                <w:sz w:val="22"/>
              </w:rPr>
              <w:t>★★★ +50% YoY; ~90% YoY in Q4</w:t>
            </w:r>
          </w:p>
        </w:tc>
        <w:tc>
          <w:tcPr>
            <w:tcW w:type="dxa" w:w="1440"/>
          </w:tcPr>
          <w:p>
            <w:r>
              <w:rPr>
                <w:rFonts w:ascii="Calibri" w:hAnsi="Calibri"/>
                <w:sz w:val="22"/>
              </w:rPr>
              <w:t>★★★ &gt;2x in 2026; Q3 up high teens</w:t>
            </w:r>
          </w:p>
        </w:tc>
        <w:tc>
          <w:tcPr>
            <w:tcW w:type="dxa" w:w="1440"/>
          </w:tcPr>
          <w:p>
            <w:r>
              <w:rPr>
                <w:rFonts w:ascii="Calibri" w:hAnsi="Calibri"/>
                <w:sz w:val="22"/>
              </w:rPr>
              <w:t>★★★ Floor raised to 130% YoY</w:t>
            </w:r>
          </w:p>
        </w:tc>
        <w:tc>
          <w:tcPr>
            <w:tcW w:type="dxa" w:w="1440"/>
          </w:tcPr>
          <w:p>
            <w:r>
              <w:rPr>
                <w:rFonts w:ascii="Calibri" w:hAnsi="Calibri"/>
                <w:b/>
                <w:color w:val="30A46C"/>
                <w:sz w:val="22"/>
              </w:rPr>
              <w:t>Strongly Positive</w:t>
            </w:r>
          </w:p>
        </w:tc>
      </w:tr>
      <w:tr>
        <w:tc>
          <w:tcPr>
            <w:tcW w:type="dxa" w:w="1440"/>
          </w:tcPr>
          <w:p>
            <w:r>
              <w:rPr>
                <w:rFonts w:ascii="Calibri" w:hAnsi="Calibri"/>
                <w:sz w:val="22"/>
              </w:rPr>
              <w:t>Supply Tightening / Lead Times</w:t>
            </w:r>
          </w:p>
        </w:tc>
        <w:tc>
          <w:tcPr>
            <w:tcW w:type="dxa" w:w="1440"/>
          </w:tcPr>
          <w:p>
            <w:r>
              <w:rPr>
                <w:rFonts w:ascii="Calibri" w:hAnsi="Calibri"/>
                <w:sz w:val="22"/>
              </w:rPr>
              <w:t>★★ Lead times inching up</w:t>
            </w:r>
          </w:p>
        </w:tc>
        <w:tc>
          <w:tcPr>
            <w:tcW w:type="dxa" w:w="1440"/>
          </w:tcPr>
          <w:p>
            <w:r>
              <w:rPr>
                <w:rFonts w:ascii="Calibri" w:hAnsi="Calibri"/>
                <w:sz w:val="22"/>
              </w:rPr>
              <w:t>★★★ MCU supply tension; tight distribution</w:t>
            </w:r>
          </w:p>
        </w:tc>
        <w:tc>
          <w:tcPr>
            <w:tcW w:type="dxa" w:w="1440"/>
          </w:tcPr>
          <w:p>
            <w:r>
              <w:rPr>
                <w:rFonts w:ascii="Calibri" w:hAnsi="Calibri"/>
                <w:sz w:val="22"/>
              </w:rPr>
              <w:t>★★★ Lead times 27→32 weeks</w:t>
            </w:r>
          </w:p>
        </w:tc>
        <w:tc>
          <w:tcPr>
            <w:tcW w:type="dxa" w:w="1440"/>
          </w:tcPr>
          <w:p>
            <w:r>
              <w:rPr>
                <w:rFonts w:ascii="Calibri" w:hAnsi="Calibri"/>
                <w:sz w:val="22"/>
              </w:rPr>
              <w:t>★★ Channel inventory very low</w:t>
            </w:r>
          </w:p>
        </w:tc>
        <w:tc>
          <w:tcPr>
            <w:tcW w:type="dxa" w:w="1440"/>
          </w:tcPr>
          <w:p>
            <w:r>
              <w:rPr>
                <w:rFonts w:ascii="Calibri" w:hAnsi="Calibri"/>
                <w:b/>
                <w:color w:val="30A46C"/>
                <w:sz w:val="22"/>
              </w:rPr>
              <w:t>Positive (validates MCHP lead time expansion thesis)</w:t>
            </w:r>
          </w:p>
        </w:tc>
      </w:tr>
      <w:tr>
        <w:tc>
          <w:tcPr>
            <w:tcW w:type="dxa" w:w="1440"/>
          </w:tcPr>
          <w:p>
            <w:r>
              <w:rPr>
                <w:rFonts w:ascii="Calibri" w:hAnsi="Calibri"/>
                <w:sz w:val="22"/>
              </w:rPr>
              <w:t>Pricing Power</w:t>
            </w:r>
          </w:p>
        </w:tc>
        <w:tc>
          <w:tcPr>
            <w:tcW w:type="dxa" w:w="1440"/>
          </w:tcPr>
          <w:p>
            <w:r>
              <w:rPr>
                <w:rFonts w:ascii="Calibri" w:hAnsi="Calibri"/>
                <w:sz w:val="22"/>
              </w:rPr>
              <w:t>★★★ Price increases started; Q3 impact</w:t>
            </w:r>
          </w:p>
        </w:tc>
        <w:tc>
          <w:tcPr>
            <w:tcW w:type="dxa" w:w="1440"/>
          </w:tcPr>
          <w:p>
            <w:r>
              <w:rPr>
                <w:rFonts w:ascii="Calibri" w:hAnsi="Calibri"/>
                <w:sz w:val="22"/>
              </w:rPr>
              <w:t>★★ Selective increases; net neutral</w:t>
            </w:r>
          </w:p>
        </w:tc>
        <w:tc>
          <w:tcPr>
            <w:tcW w:type="dxa" w:w="1440"/>
          </w:tcPr>
          <w:p>
            <w:r>
              <w:rPr>
                <w:rFonts w:ascii="Calibri" w:hAnsi="Calibri"/>
                <w:sz w:val="22"/>
              </w:rPr>
              <w:t>★★★ 2nd round of increases underway</w:t>
            </w:r>
          </w:p>
        </w:tc>
        <w:tc>
          <w:tcPr>
            <w:tcW w:type="dxa" w:w="1440"/>
          </w:tcPr>
          <w:p>
            <w:r>
              <w:rPr>
                <w:rFonts w:ascii="Calibri" w:hAnsi="Calibri"/>
                <w:sz w:val="22"/>
              </w:rPr>
              <w:t>★★ Targeted increases; no gouging</w:t>
            </w:r>
          </w:p>
        </w:tc>
        <w:tc>
          <w:tcPr>
            <w:tcW w:type="dxa" w:w="1440"/>
          </w:tcPr>
          <w:p>
            <w:r>
              <w:rPr>
                <w:rFonts w:ascii="Calibri" w:hAnsi="Calibri"/>
                <w:b/>
                <w:color w:val="30A46C"/>
                <w:sz w:val="22"/>
              </w:rPr>
              <w:t>Positive (validates Sep/Dec pricing impact)</w:t>
            </w:r>
          </w:p>
        </w:tc>
      </w:tr>
      <w:tr>
        <w:tc>
          <w:tcPr>
            <w:tcW w:type="dxa" w:w="1440"/>
          </w:tcPr>
          <w:p>
            <w:r>
              <w:rPr>
                <w:rFonts w:ascii="Calibri" w:hAnsi="Calibri"/>
                <w:sz w:val="22"/>
              </w:rPr>
              <w:t>Gross Margin Trajectory</w:t>
            </w:r>
          </w:p>
        </w:tc>
        <w:tc>
          <w:tcPr>
            <w:tcW w:type="dxa" w:w="1440"/>
          </w:tcPr>
          <w:p>
            <w:r>
              <w:rPr>
                <w:rFonts w:ascii="Calibri" w:hAnsi="Calibri"/>
                <w:sz w:val="22"/>
              </w:rPr>
              <w:t>★★★ +340bps QoQ; Q3 higher</w:t>
            </w:r>
          </w:p>
        </w:tc>
        <w:tc>
          <w:tcPr>
            <w:tcW w:type="dxa" w:w="1440"/>
          </w:tcPr>
          <w:p>
            <w:r>
              <w:rPr>
                <w:rFonts w:ascii="Calibri" w:hAnsi="Calibri"/>
                <w:sz w:val="22"/>
              </w:rPr>
              <w:t>★★ Sequential improvement; unloading charges persist</w:t>
            </w:r>
          </w:p>
        </w:tc>
        <w:tc>
          <w:tcPr>
            <w:tcW w:type="dxa" w:w="1440"/>
          </w:tcPr>
          <w:p>
            <w:r>
              <w:rPr>
                <w:rFonts w:ascii="Calibri" w:hAnsi="Calibri"/>
                <w:sz w:val="22"/>
              </w:rPr>
              <w:t>★★★ 40–42% Q3; utilization rising</w:t>
            </w:r>
          </w:p>
        </w:tc>
        <w:tc>
          <w:tcPr>
            <w:tcW w:type="dxa" w:w="1440"/>
          </w:tcPr>
          <w:p>
            <w:r>
              <w:rPr>
                <w:rFonts w:ascii="Calibri" w:hAnsi="Calibri"/>
                <w:sz w:val="22"/>
              </w:rPr>
              <w:t>★★ Stable to slightly higher</w:t>
            </w:r>
          </w:p>
        </w:tc>
        <w:tc>
          <w:tcPr>
            <w:tcW w:type="dxa" w:w="1440"/>
          </w:tcPr>
          <w:p>
            <w:r>
              <w:rPr>
                <w:rFonts w:ascii="Calibri" w:hAnsi="Calibri"/>
                <w:b/>
                <w:color w:val="30A46C"/>
                <w:sz w:val="22"/>
              </w:rPr>
              <w:t>Positive (utilization-driven expansion consistent with MCHP's underutilization charge reduction)</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7 earnings call is the </w:t>
      </w:r>
      <w:r>
        <w:rPr>
          <w:rFonts w:ascii="Calibri" w:hAnsi="Calibri"/>
          <w:b/>
          <w:color w:val="525866"/>
          <w:sz w:val="22"/>
        </w:rPr>
        <w:t>COO resignation (July 23)</w:t>
      </w:r>
      <w:r>
        <w:rPr>
          <w:rFonts w:ascii="Calibri" w:hAnsi="Calibri"/>
          <w:color w:val="525866"/>
          <w:sz w:val="22"/>
        </w:rPr>
        <w:t xml:space="preserve"> — Richard Simoncic's departure to become CEO of Menlo Microsystems removes a key operational leader just as MCHP is executing its most complex product ramp (PCIe Gen 6) and factory utilization recovery. The pricing strategy pivot (June 1–2) is the second most material development, as it signals a shift in competitive posture that will affect September and December quarters.</w:t>
      </w:r>
    </w:p>
    <w:p>
      <w:pPr>
        <w:pStyle w:val="ListBullet"/>
        <w:ind w:left="360" w:hanging="360"/>
      </w:pPr>
      <w:r>
        <w:rPr>
          <w:rFonts w:ascii="Calibri" w:hAnsi="Calibri"/>
          <w:b/>
          <w:color w:val="525866"/>
          <w:sz w:val="22"/>
        </w:rPr>
        <w:t xml:space="preserve">July 23, 2026 — COO Richard Simoncic Resigns (8-K): </w:t>
      </w:r>
      <w:r>
        <w:rPr>
          <w:rFonts w:ascii="Calibri" w:hAnsi="Calibri"/>
          <w:color w:val="525866"/>
          <w:sz w:val="22"/>
        </w:rPr>
        <w:t>Richard J. Simoncic, Chief Operating Officer, notified MCHP of his resignation effective August 17, 2026, to become CEO of Menlo Microsystems, Inc. (private, Irvine, CA). Simoncic was a key operational leader overseeing manufacturing ramp, factory utilization recovery, and supply chain execution. His departure creates execution risk at a critical juncture — MCHP is ramping PCIe Gen 6 production, managing substrate and foundry constraints across 70–80% of nodes, and executing a multi-year factory utilization recovery. No successor has been announced. Implication: Investors will want clarity on succession and whether the operational ramp timeline is affected.</w:t>
      </w:r>
    </w:p>
    <w:p>
      <w:pPr>
        <w:pStyle w:val="ListBullet"/>
        <w:ind w:left="360" w:hanging="360"/>
      </w:pPr>
      <w:r>
        <w:rPr>
          <w:rFonts w:ascii="Calibri" w:hAnsi="Calibri"/>
          <w:b/>
          <w:color w:val="525866"/>
          <w:sz w:val="22"/>
        </w:rPr>
        <w:t xml:space="preserve">June 1–2, 2026 — Pricing Strategy Pivot Announced (BofA Conference): </w:t>
      </w:r>
      <w:r>
        <w:rPr>
          <w:rFonts w:ascii="Calibri" w:hAnsi="Calibri"/>
          <w:color w:val="525866"/>
          <w:sz w:val="22"/>
        </w:rPr>
        <w:t>Management announced a decision (made May 31, 2026) to implement price increases to pass through rising foundry and OSAT input costs. Most increases effective ~September 2026; primary P&amp;L impact in the December 2026 quarter. June-quarter guidance is unaffected (confirmed at Mizuho conference, June 9). The increases are framed as cost pass-through plus margin-up, expected to be "slightly accretive" to gross margins. Competitors (TXN, ON, STM) are on their second or third round of increases; MCHP is entering its first. Implication: Positive for December-quarter gross margin; validates the path to 65% gross margin target without broad-based opportunistic pricing.</w:t>
      </w:r>
    </w:p>
    <w:p>
      <w:pPr>
        <w:pStyle w:val="ListBullet"/>
        <w:ind w:left="360" w:hanging="360"/>
      </w:pPr>
      <w:r>
        <w:rPr>
          <w:rFonts w:ascii="Calibri" w:hAnsi="Calibri"/>
          <w:b/>
          <w:color w:val="525866"/>
          <w:sz w:val="22"/>
        </w:rPr>
        <w:t xml:space="preserve">June 9, 2026 — Mizuho Technology Conference: </w:t>
      </w:r>
      <w:r>
        <w:rPr>
          <w:rFonts w:ascii="Calibri" w:hAnsi="Calibri"/>
          <w:color w:val="525866"/>
          <w:sz w:val="22"/>
        </w:rPr>
        <w:t>Rich Simoncic (then-COO) and Sajid Daudi (Head of IR) confirmed June-quarter guidance is unaffected by the pricing announcement. Simoncic highlighted A&amp;D demand surge — MCHP has been asked to scale up "almost 4x" current production for missile and arsenal replenishment, with rad-hard/rad-tolerant product lead times of 12–24 months meaning revenue ramps over the next fiscal year. PCIe Gen 4 switches and Ethernet identified as the two largest product lines for robotics. Implication: A&amp;D revenue ramp is a multi-year tailwind; robotics is an emerging but not near-term revenue driver.</w:t>
      </w:r>
    </w:p>
    <w:p>
      <w:pPr>
        <w:pStyle w:val="ListBullet"/>
        <w:ind w:left="360" w:hanging="360"/>
      </w:pPr>
      <w:r>
        <w:rPr>
          <w:rFonts w:ascii="Calibri" w:hAnsi="Calibri"/>
          <w:b/>
          <w:color w:val="525866"/>
          <w:sz w:val="22"/>
        </w:rPr>
        <w:t xml:space="preserve">June 3, 2026 — Evercore TMT Conference: </w:t>
      </w:r>
      <w:r>
        <w:rPr>
          <w:rFonts w:ascii="Calibri" w:hAnsi="Calibri"/>
          <w:color w:val="525866"/>
          <w:sz w:val="22"/>
        </w:rPr>
        <w:t>CEO Steve Sanghi and CFO Eric Bjornholt provided expanded data center color: Data Center Solutions BU at $303M in calendar 2025, growing 65% to ~$500M in 2026. PCIe Gen 6 confirmed as a hyperscaler product — "every hyperscaler, every server manufacturer" evaluating it. 8 design wins confirmed (up from 6 at May 7 earnings). CPU renaissance (training-to-inference shift) characterized as a "bonanza for PCI Express." Gross margin up 950bps in the last year to 61.5%, "in the striking range" of the 65% long-term target. Implication: Data center narrative is strengthening; PCIe Gen 6 hyperscaler validation is a key re-rating catalyst.</w:t>
      </w:r>
    </w:p>
    <w:p>
      <w:pPr>
        <w:pStyle w:val="ListBullet"/>
        <w:ind w:left="360" w:hanging="360"/>
      </w:pPr>
      <w:r>
        <w:rPr>
          <w:rFonts w:ascii="Calibri" w:hAnsi="Calibri"/>
          <w:b/>
          <w:color w:val="525866"/>
          <w:sz w:val="22"/>
        </w:rPr>
        <w:t xml:space="preserve">June 2, 2026 — BofA Global Technology Conference: </w:t>
      </w:r>
      <w:r>
        <w:rPr>
          <w:rFonts w:ascii="Calibri" w:hAnsi="Calibri"/>
          <w:color w:val="525866"/>
          <w:sz w:val="22"/>
        </w:rPr>
        <w:t>Gross margin guidance for June quarter confirmed at 62.75%. PCIe retimer (XpressConnect) formally released and available for purchase; one design win secured. PCIe Gen 6 production ramp confirmed for end of June quarter with small initial shipments; major ramp expected next year. One Gen 6 design win alone expected to generate &gt;$100M/year in production. Implication: PCIe Gen 6 and retimer are on track; the retimer is a new revenue stream with a companion-die co-selling model.</w:t>
      </w:r>
    </w:p>
    <w:p>
      <w:pPr>
        <w:pStyle w:val="ListBullet"/>
        <w:ind w:left="360" w:hanging="360"/>
      </w:pPr>
      <w:r>
        <w:rPr>
          <w:rFonts w:ascii="Calibri" w:hAnsi="Calibri"/>
          <w:b/>
          <w:color w:val="525866"/>
          <w:sz w:val="22"/>
        </w:rPr>
        <w:t xml:space="preserve">May 20, 2026 — JPMorgan Global TMT Conference: </w:t>
      </w:r>
      <w:r>
        <w:rPr>
          <w:rFonts w:ascii="Calibri" w:hAnsi="Calibri"/>
          <w:color w:val="525866"/>
          <w:sz w:val="22"/>
        </w:rPr>
        <w:t>CFO Bjornholt reaffirmed June-quarter guidance (11% sequential revenue growth, 62.5% gross margin target). Bookings momentum continued into May — "quite strong" and broad-based across end markets and geographies. Distribution inventory at 26 days (lean vs. normal high-20s to low-30s), with restocking underway. Underutilization charges of ~$47M/quarter represent 3.5pp of gross margin upside as factories ramp. Implication: Demand momentum is durable; the underutilization charge reduction is the clearest path to gross margin expansion.</w:t>
      </w:r>
    </w:p>
    <w:p>
      <w:pPr>
        <w:pStyle w:val="ListBullet"/>
        <w:ind w:left="360" w:hanging="360"/>
      </w:pPr>
      <w:r>
        <w:rPr>
          <w:rFonts w:ascii="Calibri" w:hAnsi="Calibri"/>
          <w:b/>
          <w:color w:val="525866"/>
          <w:sz w:val="22"/>
        </w:rPr>
        <w:t xml:space="preserve">July 14, 2026 — VectorBlox 3.0 Accelerator SDK Launch: </w:t>
      </w:r>
      <w:r>
        <w:rPr>
          <w:rFonts w:ascii="Calibri" w:hAnsi="Calibri"/>
          <w:color w:val="525866"/>
          <w:sz w:val="22"/>
        </w:rPr>
        <w:t>MCHP announced advancement of its neural network implementation with the VectorBlox 3.0 Accelerator SDK, reinforcing the "AI on the Edge" pillar and FPGA-based AI inference positioning. Implication: Incremental product development milestone; supports the AI on the Edge megatrend narrative but not a near-term revenue catalyst.</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May 7 earnings call consists of </w:t>
      </w:r>
      <w:r>
        <w:rPr>
          <w:rFonts w:ascii="Calibri" w:hAnsi="Calibri"/>
          <w:b/>
          <w:color w:val="525866"/>
          <w:sz w:val="22"/>
        </w:rPr>
        <w:t>open-market sales only — no purchases</w:t>
      </w:r>
      <w:r>
        <w:rPr>
          <w:rFonts w:ascii="Calibri" w:hAnsi="Calibri"/>
          <w:color w:val="525866"/>
          <w:sz w:val="22"/>
        </w:rPr>
        <w:t>. The pattern is notable: COO Simoncic sold shares on three separate occasions (May 13, May 22, June 4) totaling 20,000 shares, and subsequently resigned on July 23. Director Chapman sold 13,000 shares across two transactions. While most sales appear discretionary (not flagged as 10b5-1), the clustering of sales in the weeks immediately following the earnings beat — when the stock was near its post-earnings peak — is worth noting. No open-market purchases by any insider.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Bunker, Mathew B</w:t>
            </w:r>
          </w:p>
        </w:tc>
        <w:tc>
          <w:tcPr>
            <w:tcW w:type="dxa" w:w="1440"/>
          </w:tcPr>
          <w:p>
            <w:r>
              <w:rPr>
                <w:rFonts w:ascii="Calibri" w:hAnsi="Calibri"/>
                <w:sz w:val="22"/>
              </w:rPr>
              <w:t>Senior VP, Operations</w:t>
            </w:r>
          </w:p>
        </w:tc>
        <w:tc>
          <w:tcPr>
            <w:tcW w:type="dxa" w:w="1440"/>
          </w:tcPr>
          <w:p>
            <w:r>
              <w:rPr>
                <w:rFonts w:ascii="Calibri" w:hAnsi="Calibri"/>
                <w:sz w:val="22"/>
              </w:rPr>
              <w:t>Open Market Sale</w:t>
            </w:r>
          </w:p>
        </w:tc>
        <w:tc>
          <w:tcPr>
            <w:tcW w:type="dxa" w:w="1440"/>
          </w:tcPr>
          <w:p>
            <w:r>
              <w:rPr>
                <w:rFonts w:ascii="Calibri" w:hAnsi="Calibri"/>
                <w:sz w:val="22"/>
              </w:rPr>
              <w:t>10,571</w:t>
            </w:r>
          </w:p>
        </w:tc>
        <w:tc>
          <w:tcPr>
            <w:tcW w:type="dxa" w:w="1440"/>
          </w:tcPr>
          <w:p>
            <w:r>
              <w:rPr>
                <w:rFonts w:ascii="Calibri" w:hAnsi="Calibri"/>
                <w:sz w:val="22"/>
              </w:rPr>
              <w:t>May 13, 2026</w:t>
            </w:r>
          </w:p>
        </w:tc>
        <w:tc>
          <w:tcPr>
            <w:tcW w:type="dxa" w:w="1440"/>
          </w:tcPr>
          <w:p>
            <w:r>
              <w:rPr>
                <w:rFonts w:ascii="Calibri" w:hAnsi="Calibri"/>
                <w:sz w:val="22"/>
              </w:rPr>
              <w:t>Discretionary; direct ownership. Sold ~10 days post-earnings beat.</w:t>
            </w:r>
          </w:p>
        </w:tc>
      </w:tr>
      <w:tr>
        <w:tc>
          <w:tcPr>
            <w:tcW w:type="dxa" w:w="1440"/>
          </w:tcPr>
          <w:p>
            <w:r>
              <w:rPr>
                <w:rFonts w:ascii="Calibri" w:hAnsi="Calibri"/>
                <w:sz w:val="22"/>
              </w:rPr>
              <w:t>Simoncic, Richard J</w:t>
            </w:r>
          </w:p>
        </w:tc>
        <w:tc>
          <w:tcPr>
            <w:tcW w:type="dxa" w:w="1440"/>
          </w:tcPr>
          <w:p>
            <w:r>
              <w:rPr>
                <w:rFonts w:ascii="Calibri" w:hAnsi="Calibri"/>
                <w:sz w:val="22"/>
              </w:rPr>
              <w:t>Chief Operating Officer</w:t>
            </w:r>
          </w:p>
        </w:tc>
        <w:tc>
          <w:tcPr>
            <w:tcW w:type="dxa" w:w="1440"/>
          </w:tcPr>
          <w:p>
            <w:r>
              <w:rPr>
                <w:rFonts w:ascii="Calibri" w:hAnsi="Calibri"/>
                <w:sz w:val="22"/>
              </w:rPr>
              <w:t>Open Market Sale</w:t>
            </w:r>
          </w:p>
        </w:tc>
        <w:tc>
          <w:tcPr>
            <w:tcW w:type="dxa" w:w="1440"/>
          </w:tcPr>
          <w:p>
            <w:r>
              <w:rPr>
                <w:rFonts w:ascii="Calibri" w:hAnsi="Calibri"/>
                <w:sz w:val="22"/>
              </w:rPr>
              <w:t>10,000</w:t>
            </w:r>
          </w:p>
        </w:tc>
        <w:tc>
          <w:tcPr>
            <w:tcW w:type="dxa" w:w="1440"/>
          </w:tcPr>
          <w:p>
            <w:r>
              <w:rPr>
                <w:rFonts w:ascii="Calibri" w:hAnsi="Calibri"/>
                <w:sz w:val="22"/>
              </w:rPr>
              <w:t>May 13, 2026</w:t>
            </w:r>
          </w:p>
        </w:tc>
        <w:tc>
          <w:tcPr>
            <w:tcW w:type="dxa" w:w="1440"/>
          </w:tcPr>
          <w:p>
            <w:r>
              <w:rPr>
                <w:rFonts w:ascii="Calibri" w:hAnsi="Calibri"/>
                <w:sz w:val="22"/>
              </w:rPr>
              <w:t>Discretionary; indirect (trust). Subsequently resigned July 23, 2026.</w:t>
            </w:r>
          </w:p>
        </w:tc>
      </w:tr>
      <w:tr>
        <w:tc>
          <w:tcPr>
            <w:tcW w:type="dxa" w:w="1440"/>
          </w:tcPr>
          <w:p>
            <w:r>
              <w:rPr>
                <w:rFonts w:ascii="Calibri" w:hAnsi="Calibri"/>
                <w:sz w:val="22"/>
              </w:rPr>
              <w:t>Chapman, Matthew W</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10,000</w:t>
            </w:r>
          </w:p>
        </w:tc>
        <w:tc>
          <w:tcPr>
            <w:tcW w:type="dxa" w:w="1440"/>
          </w:tcPr>
          <w:p>
            <w:r>
              <w:rPr>
                <w:rFonts w:ascii="Calibri" w:hAnsi="Calibri"/>
                <w:sz w:val="22"/>
              </w:rPr>
              <w:t>May 15, 2026</w:t>
            </w:r>
          </w:p>
        </w:tc>
        <w:tc>
          <w:tcPr>
            <w:tcW w:type="dxa" w:w="1440"/>
          </w:tcPr>
          <w:p>
            <w:r>
              <w:rPr>
                <w:rFonts w:ascii="Calibri" w:hAnsi="Calibri"/>
                <w:sz w:val="22"/>
              </w:rPr>
              <w:t>Discretionary; direct ownership.</w:t>
            </w:r>
          </w:p>
        </w:tc>
      </w:tr>
      <w:tr>
        <w:tc>
          <w:tcPr>
            <w:tcW w:type="dxa" w:w="1440"/>
          </w:tcPr>
          <w:p>
            <w:r>
              <w:rPr>
                <w:rFonts w:ascii="Calibri" w:hAnsi="Calibri"/>
                <w:sz w:val="22"/>
              </w:rPr>
              <w:t>Bjornholt, James Eric</w:t>
            </w:r>
          </w:p>
        </w:tc>
        <w:tc>
          <w:tcPr>
            <w:tcW w:type="dxa" w:w="1440"/>
          </w:tcPr>
          <w:p>
            <w:r>
              <w:rPr>
                <w:rFonts w:ascii="Calibri" w:hAnsi="Calibri"/>
                <w:sz w:val="22"/>
              </w:rPr>
              <w:t>Senior VP &amp; CFO</w:t>
            </w:r>
          </w:p>
        </w:tc>
        <w:tc>
          <w:tcPr>
            <w:tcW w:type="dxa" w:w="1440"/>
          </w:tcPr>
          <w:p>
            <w:r>
              <w:rPr>
                <w:rFonts w:ascii="Calibri" w:hAnsi="Calibri"/>
                <w:sz w:val="22"/>
              </w:rPr>
              <w:t>Open Market Sale (10b5-1)</w:t>
            </w:r>
          </w:p>
        </w:tc>
        <w:tc>
          <w:tcPr>
            <w:tcW w:type="dxa" w:w="1440"/>
          </w:tcPr>
          <w:p>
            <w:r>
              <w:rPr>
                <w:rFonts w:ascii="Calibri" w:hAnsi="Calibri"/>
                <w:sz w:val="22"/>
              </w:rPr>
              <w:t>3,667</w:t>
            </w:r>
          </w:p>
        </w:tc>
        <w:tc>
          <w:tcPr>
            <w:tcW w:type="dxa" w:w="1440"/>
          </w:tcPr>
          <w:p>
            <w:r>
              <w:rPr>
                <w:rFonts w:ascii="Calibri" w:hAnsi="Calibri"/>
                <w:sz w:val="22"/>
              </w:rPr>
              <w:t>May 22, 2026</w:t>
            </w:r>
          </w:p>
        </w:tc>
        <w:tc>
          <w:tcPr>
            <w:tcW w:type="dxa" w:w="1440"/>
          </w:tcPr>
          <w:p>
            <w:r>
              <w:rPr>
                <w:rFonts w:ascii="Calibri" w:hAnsi="Calibri"/>
                <w:sz w:val="22"/>
              </w:rPr>
              <w:t>Pre-planned 10b5-1 sale; indirect (trust). Obligation-driven.</w:t>
            </w:r>
          </w:p>
        </w:tc>
      </w:tr>
      <w:tr>
        <w:tc>
          <w:tcPr>
            <w:tcW w:type="dxa" w:w="1440"/>
          </w:tcPr>
          <w:p>
            <w:r>
              <w:rPr>
                <w:rFonts w:ascii="Calibri" w:hAnsi="Calibri"/>
                <w:sz w:val="22"/>
              </w:rPr>
              <w:t>Simoncic, Richard J</w:t>
            </w:r>
          </w:p>
        </w:tc>
        <w:tc>
          <w:tcPr>
            <w:tcW w:type="dxa" w:w="1440"/>
          </w:tcPr>
          <w:p>
            <w:r>
              <w:rPr>
                <w:rFonts w:ascii="Calibri" w:hAnsi="Calibri"/>
                <w:sz w:val="22"/>
              </w:rPr>
              <w:t>Chief Operating Officer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May 22, 2026</w:t>
            </w:r>
          </w:p>
        </w:tc>
        <w:tc>
          <w:tcPr>
            <w:tcW w:type="dxa" w:w="1440"/>
          </w:tcPr>
          <w:p>
            <w:r>
              <w:rPr>
                <w:rFonts w:ascii="Calibri" w:hAnsi="Calibri"/>
                <w:sz w:val="22"/>
              </w:rPr>
              <w:t>Discretionary; indirect (trust). Subsequently resigned July 23, 2026.</w:t>
            </w:r>
          </w:p>
        </w:tc>
      </w:tr>
      <w:tr>
        <w:tc>
          <w:tcPr>
            <w:tcW w:type="dxa" w:w="1440"/>
          </w:tcPr>
          <w:p>
            <w:r>
              <w:rPr>
                <w:rFonts w:ascii="Calibri" w:hAnsi="Calibri"/>
                <w:sz w:val="22"/>
              </w:rPr>
              <w:t>Chapman, Matthew W</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3,000</w:t>
            </w:r>
          </w:p>
        </w:tc>
        <w:tc>
          <w:tcPr>
            <w:tcW w:type="dxa" w:w="1440"/>
          </w:tcPr>
          <w:p>
            <w:r>
              <w:rPr>
                <w:rFonts w:ascii="Calibri" w:hAnsi="Calibri"/>
                <w:sz w:val="22"/>
              </w:rPr>
              <w:t>May 28, 2026</w:t>
            </w:r>
          </w:p>
        </w:tc>
        <w:tc>
          <w:tcPr>
            <w:tcW w:type="dxa" w:w="1440"/>
          </w:tcPr>
          <w:p>
            <w:r>
              <w:rPr>
                <w:rFonts w:ascii="Calibri" w:hAnsi="Calibri"/>
                <w:sz w:val="22"/>
              </w:rPr>
              <w:t>Discretionary; direct ownership.</w:t>
            </w:r>
          </w:p>
        </w:tc>
      </w:tr>
      <w:tr>
        <w:tc>
          <w:tcPr>
            <w:tcW w:type="dxa" w:w="1440"/>
          </w:tcPr>
          <w:p>
            <w:r>
              <w:rPr>
                <w:rFonts w:ascii="Calibri" w:hAnsi="Calibri"/>
                <w:sz w:val="22"/>
              </w:rPr>
              <w:t>Simoncic, Richard J</w:t>
            </w:r>
          </w:p>
        </w:tc>
        <w:tc>
          <w:tcPr>
            <w:tcW w:type="dxa" w:w="1440"/>
          </w:tcPr>
          <w:p>
            <w:r>
              <w:rPr>
                <w:rFonts w:ascii="Calibri" w:hAnsi="Calibri"/>
                <w:sz w:val="22"/>
              </w:rPr>
              <w:t>Chief Operating Officer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June 4, 2026</w:t>
            </w:r>
          </w:p>
        </w:tc>
        <w:tc>
          <w:tcPr>
            <w:tcW w:type="dxa" w:w="1440"/>
          </w:tcPr>
          <w:p>
            <w:r>
              <w:rPr>
                <w:rFonts w:ascii="Calibri" w:hAnsi="Calibri"/>
                <w:sz w:val="22"/>
              </w:rPr>
              <w:t>Discretionary; indirect (trust). Final sale before resignation announcement (July 23).</w:t>
            </w:r>
          </w:p>
        </w:tc>
      </w:tr>
    </w:tbl>
    <w:p>
      <w:r>
        <w:rPr>
          <w:rFonts w:ascii="Calibri" w:hAnsi="Calibri"/>
          <w:b/>
          <w:color w:val="525866"/>
          <w:sz w:val="22"/>
        </w:rPr>
        <w:t xml:space="preserve">Source: </w:t>
      </w:r>
      <w:r>
        <w:rPr>
          <w:rFonts w:ascii="Calibri" w:hAnsi="Calibri"/>
          <w:color w:val="525866"/>
          <w:sz w:val="22"/>
        </w:rPr>
        <w:t>SEC Form 4 Filings Database. All transactions are open-market sales (SEC code S / Disposition). The CFO's May 22 sale is the only transaction flagged as a pre-planned 10b5-1 sale; all others appear discretionary. The COO's three sales (20,000 shares total) in the weeks following the earnings beat, followed by his July 23 resignation, are the most notable pattern. No open-market purchases were filed by any MCHP insider during the period.</w:t>
      </w:r>
    </w:p>
    <w:p>
      <w:r>
        <w:br w:type="page"/>
      </w:r>
    </w:p>
    <w:p>
      <w:pPr>
        <w:pStyle w:val="Heading1"/>
        <w:pBdr>
          <w:bottom w:val="single" w:sz="4" w:space="1" w:color="FB9120"/>
        </w:pBdr>
      </w:pPr>
      <w:r>
        <w:rPr>
          <w:rFonts w:ascii="Calibri" w:hAnsi="Calibri"/>
          <w:b/>
          <w:color w:val="3B4259"/>
          <w:sz w:val="40"/>
        </w:rPr>
        <w:t>9. Key Risks &amp; Questions for the Call</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PCIe Gen 6 ramp execution risk: </w:t>
      </w:r>
      <w:r>
        <w:rPr>
          <w:rFonts w:ascii="Calibri" w:hAnsi="Calibri"/>
          <w:color w:val="525866"/>
          <w:sz w:val="22"/>
        </w:rPr>
        <w:t>Management guided for "small initial shipments" at the end of the June quarter, with the major ramp expected in FY2028. Any delay in production qualification, substrate supply, or customer acceptance testing could push revenue recognition further out and disappoint investors who have re-rated the stock on the data center narrative.</w:t>
      </w:r>
    </w:p>
    <w:p>
      <w:pPr>
        <w:pStyle w:val="ListBullet"/>
        <w:ind w:left="360" w:hanging="360"/>
      </w:pPr>
      <w:r>
        <w:rPr>
          <w:rFonts w:ascii="Calibri" w:hAnsi="Calibri"/>
          <w:b/>
          <w:color w:val="525866"/>
          <w:sz w:val="22"/>
        </w:rPr>
        <w:t xml:space="preserve">COO succession and operational continuity: </w:t>
      </w:r>
      <w:r>
        <w:rPr>
          <w:rFonts w:ascii="Calibri" w:hAnsi="Calibri"/>
          <w:color w:val="525866"/>
          <w:sz w:val="22"/>
        </w:rPr>
        <w:t>Richard Simoncic's departure (effective August 17) removes a key operational leader during the most complex execution phase in MCHP's recent history. The company has not announced a successor. Risk is highest in factory ramp management, supply chain execution, and the A&amp;D production scale-up (4x current levels requested).</w:t>
      </w:r>
    </w:p>
    <w:p>
      <w:pPr>
        <w:pStyle w:val="ListBullet"/>
        <w:ind w:left="360" w:hanging="360"/>
      </w:pPr>
      <w:r>
        <w:rPr>
          <w:rFonts w:ascii="Calibri" w:hAnsi="Calibri"/>
          <w:b/>
          <w:color w:val="525866"/>
          <w:sz w:val="22"/>
        </w:rPr>
        <w:t xml:space="preserve">Substrate and foundry constraints limiting upside: </w:t>
      </w:r>
      <w:r>
        <w:rPr>
          <w:rFonts w:ascii="Calibri" w:hAnsi="Calibri"/>
          <w:color w:val="525866"/>
          <w:sz w:val="22"/>
        </w:rPr>
        <w:t>Management warned that 70–80% of foundry nodes are constrained and substrates are "very tight," with lead times expected to extend broadly. If supply constraints are limiting revenue rather than demand, the June-quarter beat could be smaller than the demand environment would otherwise support.</w:t>
      </w:r>
    </w:p>
    <w:p>
      <w:pPr>
        <w:pStyle w:val="ListBullet"/>
        <w:ind w:left="360" w:hanging="360"/>
      </w:pPr>
      <w:r>
        <w:rPr>
          <w:rFonts w:ascii="Calibri" w:hAnsi="Calibri"/>
          <w:b/>
          <w:color w:val="525866"/>
          <w:sz w:val="22"/>
        </w:rPr>
        <w:t xml:space="preserve">Multiple compression risk: </w:t>
      </w:r>
      <w:r>
        <w:rPr>
          <w:rFonts w:ascii="Calibri" w:hAnsi="Calibri"/>
          <w:color w:val="525866"/>
          <w:sz w:val="22"/>
        </w:rPr>
        <w:t>MCHP's NTM EV/EBITDA has already compressed from ~25x to ~18x over the past 3 months. If the PCIe Gen 6 ramp timeline is pushed out or the data center revenue trajectory disappoints, further multiple compression is possible even if the quarterly numbers are in line.</w:t>
      </w:r>
    </w:p>
    <w:p>
      <w:pPr>
        <w:pStyle w:val="ListBullet"/>
        <w:ind w:left="360" w:hanging="360"/>
      </w:pPr>
      <w:r>
        <w:rPr>
          <w:rFonts w:ascii="Calibri" w:hAnsi="Calibri"/>
          <w:b/>
          <w:color w:val="525866"/>
          <w:sz w:val="22"/>
        </w:rPr>
        <w:t xml:space="preserve">Pricing strategy execution risk: </w:t>
      </w:r>
      <w:r>
        <w:rPr>
          <w:rFonts w:ascii="Calibri" w:hAnsi="Calibri"/>
          <w:color w:val="525866"/>
          <w:sz w:val="22"/>
        </w:rPr>
        <w:t>The September price increases are the first broad-based increases MCHP has implemented since the post-COVID cycle that damaged customer relationships. If customers push back more than expected or competitors use MCHP's pricing as an opportunity to gain share, the accretive gross margin impact may not materialize as guided.</w:t>
      </w:r>
    </w:p>
    <w:p>
      <w:pPr>
        <w:pStyle w:val="ListBullet"/>
        <w:ind w:left="360" w:hanging="360"/>
      </w:pPr>
      <w:r>
        <w:rPr>
          <w:rFonts w:ascii="Calibri" w:hAnsi="Calibri"/>
          <w:b/>
          <w:color w:val="525866"/>
          <w:sz w:val="22"/>
        </w:rPr>
        <w:t xml:space="preserve">Inventory days still elevated: </w:t>
      </w:r>
      <w:r>
        <w:rPr>
          <w:rFonts w:ascii="Calibri" w:hAnsi="Calibri"/>
          <w:color w:val="525866"/>
          <w:sz w:val="22"/>
        </w:rPr>
        <w:t>Balance sheet inventory was at 185 days at the end of March 2026, well above the 130–150 day long-term target. While management expects rapid decline with revenue growth, any slowdown in revenue growth would slow the inventory normalization and could raise concerns about write-off risk.</w:t>
      </w:r>
    </w:p>
    <w:p>
      <w:pPr>
        <w:pStyle w:val="Heading2"/>
      </w:pPr>
      <w:r>
        <w:rPr>
          <w:rFonts w:ascii="Calibri" w:hAnsi="Calibri"/>
          <w:b/>
          <w:color w:val="3B4259"/>
          <w:sz w:val="28"/>
        </w:rPr>
        <w:t>Key Questions for the Call</w:t>
      </w:r>
    </w:p>
    <w:p>
      <w:pPr>
        <w:pStyle w:val="ListNumber"/>
        <w:ind w:left="360" w:hanging="360"/>
      </w:pPr>
      <w:r>
        <w:rPr>
          <w:rFonts w:ascii="Calibri" w:hAnsi="Calibri"/>
          <w:b/>
          <w:color w:val="525866"/>
          <w:sz w:val="22"/>
        </w:rPr>
        <w:t xml:space="preserve">PCIe Gen 6 production ramp: </w:t>
      </w:r>
      <w:r>
        <w:rPr>
          <w:rFonts w:ascii="Calibri" w:hAnsi="Calibri"/>
          <w:color w:val="525866"/>
          <w:sz w:val="22"/>
        </w:rPr>
        <w:t>How many units shipped in the June quarter? Which design wins are in initial production? What is the revenue trajectory for the September and December quarters, and is the &gt;$100M/year design win on track for its production ramp?</w:t>
      </w:r>
    </w:p>
    <w:p>
      <w:pPr>
        <w:pStyle w:val="ListNumber"/>
        <w:ind w:left="360" w:hanging="360"/>
      </w:pPr>
      <w:r>
        <w:rPr>
          <w:rFonts w:ascii="Calibri" w:hAnsi="Calibri"/>
          <w:b/>
          <w:color w:val="525866"/>
          <w:sz w:val="22"/>
        </w:rPr>
        <w:t xml:space="preserve">COO succession: </w:t>
      </w:r>
      <w:r>
        <w:rPr>
          <w:rFonts w:ascii="Calibri" w:hAnsi="Calibri"/>
          <w:color w:val="525866"/>
          <w:sz w:val="22"/>
        </w:rPr>
        <w:t>Who is assuming COO responsibilities? Is there an internal candidate or will MCHP conduct an external search? How does the departure affect the factory utilization ramp timeline and the A&amp;D production scale-up?</w:t>
      </w:r>
    </w:p>
    <w:p>
      <w:pPr>
        <w:pStyle w:val="ListNumber"/>
        <w:ind w:left="360" w:hanging="360"/>
      </w:pPr>
      <w:r>
        <w:rPr>
          <w:rFonts w:ascii="Calibri" w:hAnsi="Calibri"/>
          <w:b/>
          <w:color w:val="525866"/>
          <w:sz w:val="22"/>
        </w:rPr>
        <w:t xml:space="preserve">September-quarter visibility: </w:t>
      </w:r>
      <w:r>
        <w:rPr>
          <w:rFonts w:ascii="Calibri" w:hAnsi="Calibri"/>
          <w:color w:val="525866"/>
          <w:sz w:val="22"/>
        </w:rPr>
        <w:t>Management noted at the May 7 call that September-quarter backlog was already higher than June-quarter backlog at the same point in time. Can management provide an update on September-quarter bookings and backlog, and is the sequential growth trajectory continuing?</w:t>
      </w:r>
    </w:p>
    <w:p>
      <w:pPr>
        <w:pStyle w:val="ListNumber"/>
        <w:ind w:left="360" w:hanging="360"/>
      </w:pPr>
      <w:r>
        <w:rPr>
          <w:rFonts w:ascii="Calibri" w:hAnsi="Calibri"/>
          <w:b/>
          <w:color w:val="525866"/>
          <w:sz w:val="22"/>
        </w:rPr>
        <w:t xml:space="preserve">Underutilization charges: </w:t>
      </w:r>
      <w:r>
        <w:rPr>
          <w:rFonts w:ascii="Calibri" w:hAnsi="Calibri"/>
          <w:color w:val="525866"/>
          <w:sz w:val="22"/>
        </w:rPr>
        <w:t>How much did underutilization charges decline in the June quarter from the $46.6M level in March? What is the expected trajectory for September and December quarters, and when do they reach a normalized level?</w:t>
      </w:r>
    </w:p>
    <w:p>
      <w:pPr>
        <w:pStyle w:val="ListNumber"/>
        <w:ind w:left="360" w:hanging="360"/>
      </w:pPr>
      <w:r>
        <w:rPr>
          <w:rFonts w:ascii="Calibri" w:hAnsi="Calibri"/>
          <w:b/>
          <w:color w:val="525866"/>
          <w:sz w:val="22"/>
        </w:rPr>
        <w:t xml:space="preserve">Pricing implementation: </w:t>
      </w:r>
      <w:r>
        <w:rPr>
          <w:rFonts w:ascii="Calibri" w:hAnsi="Calibri"/>
          <w:color w:val="525866"/>
          <w:sz w:val="22"/>
        </w:rPr>
        <w:t>How is customer reception to the September price increases? Are there any customers pushing back or threatening to dual-source? What is the expected gross margin accretion in the December quarter?</w:t>
      </w:r>
    </w:p>
    <w:p>
      <w:pPr>
        <w:pStyle w:val="ListNumber"/>
        <w:ind w:left="360" w:hanging="360"/>
      </w:pPr>
      <w:r>
        <w:rPr>
          <w:rFonts w:ascii="Calibri" w:hAnsi="Calibri"/>
          <w:b/>
          <w:color w:val="525866"/>
          <w:sz w:val="22"/>
        </w:rPr>
        <w:t xml:space="preserve">Data center revenue breakdown: </w:t>
      </w:r>
      <w:r>
        <w:rPr>
          <w:rFonts w:ascii="Calibri" w:hAnsi="Calibri"/>
          <w:color w:val="525866"/>
          <w:sz w:val="22"/>
        </w:rPr>
        <w:t>Can management provide an update on the Data Center Solutions BU revenue trajectory toward the $500M calendar 2026 target? How are the three product lines (storage controllers, memory controllers, PCIe/retimer) tracking individually?</w:t>
      </w:r>
    </w:p>
    <w:p>
      <w:pPr>
        <w:pStyle w:val="ListNumber"/>
        <w:ind w:left="360" w:hanging="360"/>
      </w:pPr>
      <w:r>
        <w:rPr>
          <w:rFonts w:ascii="Calibri" w:hAnsi="Calibri"/>
          <w:b/>
          <w:color w:val="525866"/>
          <w:sz w:val="22"/>
        </w:rPr>
        <w:t xml:space="preserve">Inventory days trajectory: </w:t>
      </w:r>
      <w:r>
        <w:rPr>
          <w:rFonts w:ascii="Calibri" w:hAnsi="Calibri"/>
          <w:color w:val="525866"/>
          <w:sz w:val="22"/>
        </w:rPr>
        <w:t>Where did inventory days end in the June quarter? Is the company on track to reach the 130–150 day target within the next two quarters as guided?</w:t>
      </w:r>
    </w:p>
    <w:p>
      <w:pPr>
        <w:pStyle w:val="ListNumber"/>
        <w:ind w:left="360" w:hanging="360"/>
      </w:pPr>
      <w:r>
        <w:rPr>
          <w:rFonts w:ascii="Calibri" w:hAnsi="Calibri"/>
          <w:b/>
          <w:color w:val="525866"/>
          <w:sz w:val="22"/>
        </w:rPr>
        <w:t xml:space="preserve">Leverage and capital allocation: </w:t>
      </w:r>
      <w:r>
        <w:rPr>
          <w:rFonts w:ascii="Calibri" w:hAnsi="Calibri"/>
          <w:color w:val="525866"/>
          <w:sz w:val="22"/>
        </w:rPr>
        <w:t>Did net debt/EBITDA drop below 3.0x as guided? What is the timeline to the below-2.0x long-term target, and when does share buyback become a priority?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