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k-earnings-predictions--2026-08-05"/>
    <w:p>
      <w:pPr>
        <w:pStyle w:val="Heading1"/>
      </w:pPr>
      <w:r>
        <w:t xml:space="preserve">MCK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9.52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106.5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104.3B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Oncology &amp; Multispecialty adj. operating profit growth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~+16% YoY vs. cons ~+14%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44.10</m:t>
              </m:r>
              <m:r>
                <m:rPr>
                  <m:sty m:val="p"/>
                </m:rPr>
                <m:t>–</m:t>
              </m:r>
            </m:oMath>
            <w:r>
              <w:t xml:space="preserve">44.90 (mid ~</w:t>
            </w:r>
            <m:oMath>
              <m:r>
                <m:t>44.50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44.30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dividend (10th consecutive hike, announced with Q1)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~$0.94/qtr vs. prior $0.82 (~+15%, 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capital return / buyback (accelerated by Med-Surg term loans)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 buyback + up to</w:t>
            </w:r>
            <w:r>
              <w:t xml:space="preserve"> </w:t>
            </w:r>
            <m:oMath>
              <m:r>
                <m:t>2.25</m:t>
              </m:r>
              <m:r>
                <m:t>B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l</m:t>
              </m:r>
              <m:r>
                <m:t>o</m:t>
              </m:r>
              <m:r>
                <m:t>a</m:t>
              </m:r>
              <m:r>
                <m:t>n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5.0B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Beat + modest guide raise is the base case, but the raise (~+</w:t>
            </w:r>
            <m:oMath>
              <m:r>
                <m:t>0.30</m:t>
              </m:r>
              <m:r>
                <m:t>a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w</m:t>
              </m:r>
              <m:r>
                <m:t>i</m:t>
              </m:r>
              <m:r>
                <m:t>l</m:t>
              </m:r>
              <m:r>
                <m:t>l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b</m:t>
              </m:r>
              <m:r>
                <m:t>e</m:t>
              </m:r>
              <m:r>
                <m:t>s</m:t>
              </m:r>
              <m:r>
                <m:t>m</m:t>
              </m:r>
              <m:r>
                <m:t>a</m:t>
              </m:r>
              <m:r>
                <m:t>l</m:t>
              </m:r>
              <m:r>
                <m:t>l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t</m:t>
              </m:r>
              <m:r>
                <m:t>h</m:t>
              </m:r>
              <m:r>
                <m:t>e</m:t>
              </m:r>
              <m:r>
                <m:t>Q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0.25–0.30), leaving H2 estimates effectively flat-to-lower (implicit out-period trim). Combined with a stretched valuation and the sharp ~7% pre-print pullback from the $889 peak (a relief-bounce setup that can round-trip), the initial pop tends to give back over the week as sell-side revisions land only modestly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2026-08-05T00:53:28Z</dcterms:created>
  <dcterms:modified xsi:type="dcterms:W3CDTF">2026-08-05T00:53:28Z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