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" w:name="mckesson-mck--q1-fy2027-earnings-preview"/>
    <w:p>
      <w:pPr>
        <w:pStyle w:val="Heading1"/>
      </w:pPr>
      <w:r>
        <w:t xml:space="preserve">McKesson (MCK) — Q1 FY2027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After market close, Wednesday, Aug 5, 2026 · Conference call 4:30 PM ET</w:t>
      </w:r>
      <w:r>
        <w:t xml:space="preserve"> </w:t>
      </w:r>
      <w:r>
        <w:rPr>
          <w:b/>
          <w:bCs/>
        </w:rPr>
        <w:t xml:space="preserve">Fiscal period:</w:t>
      </w:r>
      <w:r>
        <w:t xml:space="preserve"> </w:t>
      </w:r>
      <w:r>
        <w:t xml:space="preserve">Q1 FY2027 (quarter ended June 30, 2026)</w:t>
      </w:r>
      <w:r>
        <w:t xml:space="preserve"> </w:t>
      </w:r>
      <w:r>
        <w:rPr>
          <w:b/>
          <w:bCs/>
        </w:rPr>
        <w:t xml:space="preserve">Stock:</w:t>
      </w:r>
      <w:r>
        <w:t xml:space="preserve"> </w:t>
      </w:r>
      <w:r>
        <w:t xml:space="preserve">~$830 (Aug 4 close) · roughly flat YTD, ~+17% over the trailing year</w:t>
      </w:r>
      <w:r>
        <w:t xml:space="preserve"> </w:t>
      </w:r>
      <w:r>
        <w:rPr>
          <w:b/>
          <w:bCs/>
        </w:rPr>
        <w:t xml:space="preserve">New wrinkle:</w:t>
      </w:r>
      <w:r>
        <w:t xml:space="preserve"> </w:t>
      </w:r>
      <w:r>
        <w:t xml:space="preserve">This is</w:t>
      </w:r>
      <w:r>
        <w:t xml:space="preserve"> </w:t>
      </w:r>
      <w:r>
        <w:rPr>
          <w:b/>
          <w:bCs/>
        </w:rPr>
        <w:t xml:space="preserve">CFO Kenny Cheung's first earnings call</w:t>
      </w:r>
      <w:r>
        <w:t xml:space="preserve"> </w:t>
      </w:r>
      <w:r>
        <w:t xml:space="preserve">(ex-Sysco CFO, started May 29, 2026; Britt Vitalone has moved to an advisory role overseeing the Med-Surg separation)</w:t>
      </w:r>
    </w:p>
    <w:p>
      <w:r>
        <w:pict>
          <v:rect style="width:0;height:1.5pt" o:hralign="center" o:hrstd="t" o:hr="t"/>
        </w:pict>
      </w:r>
    </w:p>
    <w:bookmarkStart w:id="10" w:name="X07e70cbaee5defc639f8645d138bbd0a9229c3f"/>
    <w:p>
      <w:pPr>
        <w:pStyle w:val="Heading2"/>
      </w:pPr>
      <w:r>
        <w:t xml:space="preserve">1. The setup: a "beat-and-nudge" stock into a low-drama print</w:t>
      </w:r>
    </w:p>
    <w:p>
      <w:pPr>
        <w:pStyle w:val="FirstParagraph"/>
      </w:pPr>
      <w:r>
        <w:t xml:space="preserve">McKesson enters this quarter off a strong FY2026 —</w:t>
      </w:r>
      <w:r>
        <w:t xml:space="preserve"> </w:t>
      </w:r>
      <w:r>
        <w:rPr>
          <w:b/>
          <w:bCs/>
        </w:rPr>
        <w:t xml:space="preserve">revenue of $403.4B (+12%)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adjusted EPS of</w:t>
      </w:r>
      <w:r>
        <w:rPr>
          <w:b/>
          <w:bCs/>
        </w:rPr>
        <w:t xml:space="preserve"> </w:t>
      </w:r>
      <m:oMath>
        <m:r>
          <m:t>39.11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18</m:t>
        </m:r>
      </m:oMath>
      <w:r>
        <w:rPr>
          <w:b/>
          <w:bCs/>
        </w:rPr>
        <w:t xml:space="preserve">6.2B of operating cash flow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$5.1B returned to shareholders</w:t>
      </w:r>
      <w:r>
        <w:t xml:space="preserve">. Momentum has been broad-based, and the company has topped Street EPS estimates in each of the last four quarters.</w:t>
      </w:r>
    </w:p>
    <w:p>
      <w:pPr>
        <w:pStyle w:val="BodyText"/>
      </w:pPr>
      <w:r>
        <w:t xml:space="preserve">The tension going in: in May, management set FY2027 adjusted EPS guidance of</w:t>
      </w:r>
      <w:r>
        <w:t xml:space="preserve"> </w:t>
      </w:r>
      <m:oMath>
        <m:r>
          <m:t>43.80</m:t>
        </m:r>
        <m:r>
          <m:rPr>
            <m:sty m:val="p"/>
          </m:rPr>
          <m:t>–</m:t>
        </m:r>
      </m:oMath>
      <w:r>
        <w:rPr>
          <w:b/>
          <w:bCs/>
        </w:rPr>
        <w:t xml:space="preserve">44.60 (+12–14%)</w:t>
      </w:r>
      <w:r>
        <w:t xml:space="preserve"> </w:t>
      </w:r>
      <w:r>
        <w:t xml:space="preserve">— a solid number but one the market initially found underwhelming, with the stock falling ~7% on the print before recovering through the summer. So the bar this quarter is less about the Q1 number itself and more about</w:t>
      </w:r>
      <w:r>
        <w:t xml:space="preserve"> </w:t>
      </w:r>
      <w:r>
        <w:rPr>
          <w:b/>
          <w:bCs/>
        </w:rPr>
        <w:t xml:space="preserve">whether management sounds confident enough to raise the full-year guide</w:t>
      </w:r>
      <w:r>
        <w:t xml:space="preserve"> </w:t>
      </w:r>
      <w:r>
        <w:t xml:space="preserve">(as it did after Q1 last year).</w:t>
      </w:r>
    </w:p>
    <w:bookmarkStart w:id="9" w:name="what-the-street-expects-for-q1"/>
    <w:p>
      <w:pPr>
        <w:pStyle w:val="Heading3"/>
      </w:pPr>
      <w:r>
        <w:t xml:space="preserve">What the Street expects for Q1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Consensus</w:t>
            </w:r>
          </w:p>
        </w:tc>
        <w:tc>
          <w:tcPr/>
          <w:p>
            <w:pPr>
              <w:pStyle w:val="Compact"/>
            </w:pPr>
            <w:r>
              <w:t xml:space="preserve">Year-ago (Q1 FY26)</w:t>
            </w:r>
          </w:p>
        </w:tc>
        <w:tc>
          <w:tcPr/>
          <w:p>
            <w:pPr>
              <w:pStyle w:val="Compact"/>
            </w:pPr>
            <w:r>
              <w:t xml:space="preserve">Implied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~$104.3B</w:t>
            </w:r>
          </w:p>
        </w:tc>
        <w:tc>
          <w:tcPr/>
          <w:p>
            <w:pPr>
              <w:pStyle w:val="Compact"/>
            </w:pPr>
            <w:r>
              <w:t xml:space="preserve">$97.8B</w:t>
            </w:r>
          </w:p>
        </w:tc>
        <w:tc>
          <w:tcPr/>
          <w:p>
            <w:pPr>
              <w:pStyle w:val="Compact"/>
            </w:pPr>
            <w:r>
              <w:t xml:space="preserve">~+6–7%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m:oMath>
              <m:r>
                <m:t>9.46</m:t>
              </m:r>
              <m:r>
                <m:rPr>
                  <m:sty m:val="p"/>
                </m:rPr>
                <m:t>–</m:t>
              </m:r>
            </m:oMath>
            <w:r>
              <w:t xml:space="preserve">9.59</w:t>
            </w:r>
          </w:p>
        </w:tc>
        <w:tc>
          <w:tcPr/>
          <w:p>
            <w:pPr>
              <w:pStyle w:val="Compact"/>
            </w:pPr>
            <w:r>
              <w:t xml:space="preserve">$8.26</w:t>
            </w:r>
          </w:p>
        </w:tc>
        <w:tc>
          <w:tcPr/>
          <w:p>
            <w:pPr>
              <w:pStyle w:val="Compact"/>
            </w:pPr>
            <w:r>
              <w:t xml:space="preserve">~+15–16%</w:t>
            </w:r>
          </w:p>
        </w:tc>
      </w:tr>
    </w:tbl>
    <w:p>
      <w:pPr>
        <w:pStyle w:val="BodyText"/>
      </w:pPr>
      <w:r>
        <w:t xml:space="preserve">A couple of things worth flagging on the comparison:</w:t>
      </w:r>
    </w:p>
    <w:p>
      <w:pPr>
        <w:pStyle w:val="Compact"/>
        <w:numPr>
          <w:ilvl w:val="0"/>
          <w:numId w:val="1001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year-ago Q1 (+5% adj. EPS)</w:t>
      </w:r>
      <w:r>
        <w:t xml:space="preserve"> </w:t>
      </w:r>
      <w:r>
        <w:t xml:space="preserve">was an artificially soft comp — it was dragged by a higher tax rate and the absence of ~$110M of McKesson Ventures gains that had boosted the prior year. That flatters this year's growth optics.</w:t>
      </w:r>
    </w:p>
    <w:p>
      <w:pPr>
        <w:pStyle w:val="Compact"/>
        <w:numPr>
          <w:ilvl w:val="0"/>
          <w:numId w:val="1001"/>
        </w:numPr>
      </w:pPr>
      <w:r>
        <w:t xml:space="preserve">Management guided FY27's EPS cadence to be</w:t>
      </w:r>
      <w:r>
        <w:t xml:space="preserve"> </w:t>
      </w:r>
      <w:r>
        <w:rPr>
          <w:b/>
          <w:bCs/>
        </w:rPr>
        <w:t xml:space="preserve">"broadly similar to FY26 on a first-half/second-half basis."</w:t>
      </w:r>
      <w:r>
        <w:t xml:space="preserve"> </w:t>
      </w:r>
      <w:r>
        <w:t xml:space="preserve">FY26 Q1 was ~21% of the full year; applied to the FY27 midpoint (~</w:t>
      </w:r>
      <m:oMath>
        <m:r>
          <m:t>44.20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t</m:t>
        </m:r>
        <m:r>
          <m:t>h</m:t>
        </m:r>
        <m:r>
          <m:t>a</m:t>
        </m:r>
        <m:r>
          <m:t>t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9.2–</w:t>
      </w:r>
      <m:oMath>
        <m:r>
          <m:t>9.4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—</m:t>
        </m:r>
        <m:r>
          <m:t>s</m:t>
        </m:r>
        <m:r>
          <m:t>o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o</m:t>
        </m:r>
        <m:r>
          <m:t>f</m:t>
        </m:r>
        <m:r>
          <m:t> </m:t>
        </m:r>
      </m:oMath>
      <w:r>
        <w:t xml:space="preserve">9.5 already bakes in a modest beat.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1" w:name="X22bc8ca43c473ac84db50113de6680a648c023d"/>
    <w:p>
      <w:pPr>
        <w:pStyle w:val="Heading2"/>
      </w:pPr>
      <w:r>
        <w:t xml:space="preserve">2. Segment scorecard (note the new reporting structure)</w:t>
      </w:r>
    </w:p>
    <w:p>
      <w:pPr>
        <w:pStyle w:val="FirstParagraph"/>
      </w:pPr>
      <w:r>
        <w:t xml:space="preserve">McKesson reorganized into</w:t>
      </w:r>
      <w:r>
        <w:t xml:space="preserve"> </w:t>
      </w:r>
      <w:r>
        <w:rPr>
          <w:b/>
          <w:bCs/>
        </w:rPr>
        <w:t xml:space="preserve">four segments</w:t>
      </w:r>
      <w:r>
        <w:t xml:space="preserve"> </w:t>
      </w:r>
      <w:r>
        <w:t xml:space="preserve">starting FY26: North American Pharmaceutical (now includes Canada), Oncology &amp; Multispecialty, Prescription Technology Solutions (RxTS), and Medical-Surgical. Year-ago segment figures will be recast, so headline YoY segment growth may look different from last August's release (which still used the old U.S. Pharma / International structure). Here is the FY27 full-year growth framework management laid out: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FY27 Rev growth</w:t>
            </w:r>
          </w:p>
        </w:tc>
        <w:tc>
          <w:tcPr/>
          <w:p>
            <w:pPr>
              <w:pStyle w:val="Compact"/>
            </w:pPr>
            <w:r>
              <w:t xml:space="preserve">FY27 Adj. OP growth</w:t>
            </w:r>
          </w:p>
        </w:tc>
        <w:tc>
          <w:tcPr/>
          <w:p>
            <w:pPr>
              <w:pStyle w:val="Compact"/>
            </w:pPr>
            <w:r>
              <w:t xml:space="preserve">Key drivers to watch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North American Pharmaceutical</w:t>
            </w:r>
          </w:p>
        </w:tc>
        <w:tc>
          <w:tcPr/>
          <w:p>
            <w:pPr>
              <w:pStyle w:val="Compact"/>
            </w:pPr>
            <w:r>
              <w:t xml:space="preserve">+4–8%</w:t>
            </w:r>
          </w:p>
        </w:tc>
        <w:tc>
          <w:tcPr/>
          <w:p>
            <w:pPr>
              <w:pStyle w:val="Compact"/>
            </w:pPr>
            <w:r>
              <w:t xml:space="preserve">+5.5–9.5%</w:t>
            </w:r>
          </w:p>
        </w:tc>
        <w:tc>
          <w:tcPr/>
          <w:p>
            <w:pPr>
              <w:pStyle w:val="Compact"/>
            </w:pPr>
            <w:r>
              <w:t xml:space="preserve">Stable Rx utilization, specialty/health-system distribution;</w:t>
            </w:r>
            <w:r>
              <w:t xml:space="preserve"> </w:t>
            </w:r>
            <w:r>
              <w:rPr>
                <w:b/>
                <w:bCs/>
              </w:rPr>
              <w:t xml:space="preserve">GLP-1 volumes</w:t>
            </w:r>
            <w:r>
              <w:t xml:space="preserve">; offset by IRA branded price declines (~3% rev headwind) and lapping Rite Aid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Oncology &amp; Multispecialty</w:t>
            </w:r>
          </w:p>
        </w:tc>
        <w:tc>
          <w:tcPr/>
          <w:p>
            <w:pPr>
              <w:pStyle w:val="Compact"/>
            </w:pPr>
            <w:r>
              <w:t xml:space="preserve">+14.5–18.5%</w:t>
            </w:r>
          </w:p>
        </w:tc>
        <w:tc>
          <w:tcPr/>
          <w:p>
            <w:pPr>
              <w:pStyle w:val="Compact"/>
            </w:pPr>
            <w:r>
              <w:t xml:space="preserve">+13.5–17.5%</w:t>
            </w:r>
          </w:p>
        </w:tc>
        <w:tc>
          <w:tcPr/>
          <w:p>
            <w:pPr>
              <w:pStyle w:val="Compact"/>
            </w:pPr>
            <w:r>
              <w:t xml:space="preserve">Provider adds (US Oncology Network),</w:t>
            </w:r>
            <w:r>
              <w:t xml:space="preserve"> </w:t>
            </w:r>
            <w:r>
              <w:rPr>
                <w:b/>
                <w:bCs/>
              </w:rPr>
              <w:t xml:space="preserve">lapping PRISM Vision &amp; Core Ventures</w:t>
            </w:r>
            <w:r>
              <w:t xml:space="preserve"> </w:t>
            </w:r>
            <w:r>
              <w:t xml:space="preserve">acquisitions (Q1 last year); organic OP running ~13%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Prescription Technology Solutions</w:t>
            </w:r>
          </w:p>
        </w:tc>
        <w:tc>
          <w:tcPr/>
          <w:p>
            <w:pPr>
              <w:pStyle w:val="Compact"/>
            </w:pPr>
            <w:r>
              <w:t xml:space="preserve">+2.5–6.5%</w:t>
            </w:r>
          </w:p>
        </w:tc>
        <w:tc>
          <w:tcPr/>
          <w:p>
            <w:pPr>
              <w:pStyle w:val="Compact"/>
            </w:pPr>
            <w:r>
              <w:t xml:space="preserve">+11–15%</w:t>
            </w:r>
          </w:p>
        </w:tc>
        <w:tc>
          <w:tcPr/>
          <w:p>
            <w:pPr>
              <w:pStyle w:val="Compact"/>
            </w:pPr>
            <w:r>
              <w:t xml:space="preserve">Access/affordability demand strong; 3PL (~55% of segment revenue) is lumpy quarter-to-quarter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Medical-Surgical</w:t>
            </w:r>
          </w:p>
        </w:tc>
        <w:tc>
          <w:tcPr/>
          <w:p>
            <w:pPr>
              <w:pStyle w:val="Compact"/>
            </w:pPr>
            <w:r>
              <w:t xml:space="preserve">+1–6%</w:t>
            </w:r>
          </w:p>
        </w:tc>
        <w:tc>
          <w:tcPr/>
          <w:p>
            <w:pPr>
              <w:pStyle w:val="Compact"/>
            </w:pPr>
            <w:r>
              <w:t xml:space="preserve">flat to +4%</w:t>
            </w:r>
          </w:p>
        </w:tc>
        <w:tc>
          <w:tcPr/>
          <w:p>
            <w:pPr>
              <w:pStyle w:val="Compact"/>
            </w:pPr>
            <w:r>
              <w:t xml:space="preserve">Soft ambulatory/illness-season demand; separation costs</w:t>
            </w:r>
          </w:p>
        </w:tc>
      </w:tr>
    </w:tbl>
    <w:p>
      <w:pPr>
        <w:pStyle w:val="BodyText"/>
      </w:pPr>
      <w:r>
        <w:rPr>
          <w:b/>
          <w:bCs/>
        </w:rPr>
        <w:t xml:space="preserve">Modeling items for the full year:</w:t>
      </w:r>
      <w:r>
        <w:t xml:space="preserve"> </w:t>
      </w:r>
      <w:r>
        <w:t xml:space="preserve">Corporate expense $580–640M · interest expense $380–420M (rising on new debt) · noncontrolling interest $295–325M (Apollo) · tax rate 17–19% · FCF</w:t>
      </w:r>
      <w:r>
        <w:t xml:space="preserve"> </w:t>
      </w:r>
      <m:oMath>
        <m:r>
          <m:t>4.5</m:t>
        </m:r>
        <m:r>
          <m:rPr>
            <m:sty m:val="p"/>
          </m:rPr>
          <m:t>–</m:t>
        </m:r>
        <m:r>
          <m:t>4.9</m:t>
        </m:r>
        <m:r>
          <m:t>B</m:t>
        </m:r>
        <m:r>
          <m:rPr>
            <m:sty m:val="p"/>
          </m:rPr>
          <m:t>·</m:t>
        </m:r>
        <m:r>
          <m:t> </m:t>
        </m:r>
      </m:oMath>
      <w:r>
        <w:t xml:space="preserve">5B buyback · diluted shares 116–118M.</w:t>
      </w:r>
    </w:p>
    <w:p>
      <w:r>
        <w:pict>
          <v:rect style="width:0;height:1.5pt" o:hralign="center" o:hrstd="t" o:hr="t"/>
        </w:pict>
      </w:r>
    </w:p>
    <w:bookmarkEnd w:id="11"/>
    <w:bookmarkStart w:id="12" w:name="X6accdb1ac83c0a04b5323294dfe88136597bdea"/>
    <w:p>
      <w:pPr>
        <w:pStyle w:val="Heading2"/>
      </w:pPr>
      <w:r>
        <w:t xml:space="preserve">3. The five things that actually matter on this call</w:t>
      </w:r>
    </w:p>
    <w:p>
      <w:pPr>
        <w:pStyle w:val="FirstParagraph"/>
      </w:pPr>
      <w:r>
        <w:rPr>
          <w:b/>
          <w:bCs/>
        </w:rPr>
        <w:t xml:space="preserve">1. Guidance revision.</w:t>
      </w:r>
      <w:r>
        <w:t xml:space="preserve"> </w:t>
      </w:r>
      <w:r>
        <w:t xml:space="preserve">With MCK's habit of beating and a soft H1 comp, the key question is whether they raise the</w:t>
      </w:r>
      <w:r>
        <w:t xml:space="preserve"> </w:t>
      </w:r>
      <m:oMath>
        <m:r>
          <m:t>43.80</m:t>
        </m:r>
        <m:r>
          <m:rPr>
            <m:sty m:val="p"/>
          </m:rPr>
          <m:t>–</m:t>
        </m:r>
      </m:oMath>
      <w:r>
        <w:t xml:space="preserve">44.60 range. A reiteration (rather than a raise) after a Q1 beat could read as cautious.</w:t>
      </w:r>
    </w:p>
    <w:p>
      <w:pPr>
        <w:pStyle w:val="BodyText"/>
      </w:pPr>
      <w:r>
        <w:rPr>
          <w:b/>
          <w:bCs/>
        </w:rPr>
        <w:t xml:space="preserve">2. Medical-Surgical separation progress.</w:t>
      </w:r>
      <w:r>
        <w:t xml:space="preserve"> </w:t>
      </w:r>
      <w:r>
        <w:t xml:space="preserve">This is the biggest strategic catalyst. Key milestones:</w:t>
      </w:r>
      <w:r>
        <w:t xml:space="preserve"> </w:t>
      </w:r>
      <w:r>
        <w:rPr>
          <w:b/>
          <w:bCs/>
        </w:rPr>
        <w:t xml:space="preserve">Apollo's</w:t>
      </w:r>
      <w:r>
        <w:rPr>
          <w:b/>
          <w:bCs/>
        </w:rPr>
        <w:t xml:space="preserve"> </w:t>
      </w:r>
      <m:oMath>
        <m:r>
          <m:t>1.25</m:t>
        </m:r>
        <m:r>
          <m:t>B</m:t>
        </m:r>
        <m:r>
          <m:t>i</m:t>
        </m:r>
        <m:r>
          <m:t>n</m:t>
        </m:r>
        <m:r>
          <m:t>v</m:t>
        </m:r>
        <m:r>
          <m:t>e</m:t>
        </m:r>
        <m:r>
          <m:t>s</m:t>
        </m:r>
        <m:r>
          <m:t>t</m:t>
        </m:r>
        <m:r>
          <m:t>m</m:t>
        </m:r>
        <m:r>
          <m:t>e</m:t>
        </m:r>
        <m:r>
          <m:t>n</m:t>
        </m:r>
        <m:r>
          <m:t>t</m:t>
        </m:r>
        <m:r>
          <m:t>f</m:t>
        </m:r>
        <m:r>
          <m:t>o</m:t>
        </m:r>
        <m:r>
          <m:t>r</m:t>
        </m:r>
        <m:r>
          <m:t> </m:t>
        </m:r>
        <m:r>
          <m:t>13</m:t>
        </m:r>
      </m:oMath>
      <w:r>
        <w:rPr>
          <w:b/>
          <w:bCs/>
        </w:rPr>
        <w:t xml:space="preserve">13B enterprise value)</w:t>
      </w:r>
      <w:r>
        <w:t xml:space="preserve"> </w:t>
      </w:r>
      <w:r>
        <w:t xml:space="preserve">closed in June; the business is already operationally/legally separate with carve-out financials done. Watch for updates on</w:t>
      </w:r>
      <w:r>
        <w:t xml:space="preserve"> </w:t>
      </w:r>
      <w:r>
        <w:rPr>
          <w:b/>
          <w:bCs/>
        </w:rPr>
        <w:t xml:space="preserve">IPO timing</w:t>
      </w:r>
      <w:r>
        <w:t xml:space="preserve">, and on the</w:t>
      </w:r>
      <w:r>
        <w:t xml:space="preserve"> </w:t>
      </w:r>
      <w:r>
        <w:rPr>
          <w:b/>
          <w:bCs/>
        </w:rPr>
        <w:t xml:space="preserve">up to $2.25B of additional term loans</w:t>
      </w:r>
      <w:r>
        <w:t xml:space="preserve"> </w:t>
      </w:r>
      <w:r>
        <w:t xml:space="preserve">expected to be issued in the back half of</w:t>
      </w:r>
      <w:r>
        <w:t xml:space="preserve"> </w:t>
      </w:r>
      <w:r>
        <w:rPr>
          <w:i/>
          <w:iCs/>
        </w:rPr>
        <w:t xml:space="preserve">this</w:t>
      </w:r>
      <w:r>
        <w:t xml:space="preserve"> </w:t>
      </w:r>
      <w:r>
        <w:t xml:space="preserve">quarter — proceeds are earmarked principally for</w:t>
      </w:r>
      <w:r>
        <w:t xml:space="preserve"> </w:t>
      </w:r>
      <w:r>
        <w:rPr>
          <w:b/>
          <w:bCs/>
        </w:rPr>
        <w:t xml:space="preserve">share buybacks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3. GLP-1 trajectory.</w:t>
      </w:r>
      <w:r>
        <w:t xml:space="preserve"> </w:t>
      </w:r>
      <w:r>
        <w:t xml:space="preserve">GLP-1 distribution hit</w:t>
      </w:r>
      <w:r>
        <w:t xml:space="preserve"> </w:t>
      </w:r>
      <w:r>
        <w:rPr>
          <w:b/>
          <w:bCs/>
        </w:rPr>
        <w:t xml:space="preserve">$53B in FY26 (+27%)</w:t>
      </w:r>
      <w:r>
        <w:t xml:space="preserve">, but Q4 showed the volatility — up 22% YoY yet</w:t>
      </w:r>
      <w:r>
        <w:t xml:space="preserve"> </w:t>
      </w:r>
      <w:r>
        <w:rPr>
          <w:b/>
          <w:bCs/>
        </w:rPr>
        <w:t xml:space="preserve">down 4% sequentially</w:t>
      </w:r>
      <w:r>
        <w:t xml:space="preserve">. Management stresses GLP-1 has</w:t>
      </w:r>
      <w:r>
        <w:t xml:space="preserve"> </w:t>
      </w:r>
      <w:r>
        <w:rPr>
          <w:b/>
          <w:bCs/>
        </w:rPr>
        <w:t xml:space="preserve">no meaningful operating-profit impact</w:t>
      </w:r>
      <w:r>
        <w:t xml:space="preserve">, so focus on volume commentary and the read-through to RxTS access/affordability demand rather than the revenue line.</w:t>
      </w:r>
    </w:p>
    <w:p>
      <w:pPr>
        <w:pStyle w:val="BodyText"/>
      </w:pPr>
      <w:r>
        <w:rPr>
          <w:b/>
          <w:bCs/>
        </w:rPr>
        <w:t xml:space="preserve">4. Capital deployment &amp; the new CFO's tone.</w:t>
      </w:r>
      <w:r>
        <w:t xml:space="preserve"> </w:t>
      </w:r>
      <w:r>
        <w:t xml:space="preserve">MCK plans ~</w:t>
      </w:r>
      <m:oMath>
        <m:r>
          <m:t>5</m:t>
        </m:r>
        <m:r>
          <m:t>B</m:t>
        </m:r>
        <m:r>
          <m:t>o</m:t>
        </m:r>
        <m:r>
          <m:t>f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s</m:t>
        </m:r>
        <m:r>
          <m:t>i</m:t>
        </m:r>
        <m:r>
          <m:t>n</m:t>
        </m:r>
        <m:r>
          <m:t>F</m:t>
        </m:r>
        <m:r>
          <m:t>Y</m:t>
        </m:r>
        <m:r>
          <m:t>27</m:t>
        </m:r>
        <m:r>
          <m:rPr>
            <m:sty m:val="p"/>
          </m:rPr>
          <m:t>(</m:t>
        </m:r>
        <m:r>
          <m:t>a</m:t>
        </m:r>
        <m:r>
          <m:t>c</m:t>
        </m:r>
        <m:r>
          <m:t>c</m:t>
        </m:r>
        <m:r>
          <m:t>e</m:t>
        </m:r>
        <m:r>
          <m:t>l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d</m:t>
        </m:r>
        <m:r>
          <m:t>b</m:t>
        </m:r>
        <m:r>
          <m:t>y</m:t>
        </m:r>
        <m:r>
          <m:t>s</m:t>
        </m:r>
        <m:r>
          <m:t>e</m:t>
        </m:r>
        <m:r>
          <m:t>p</m:t>
        </m:r>
        <m:r>
          <m:t>a</m:t>
        </m:r>
        <m:r>
          <m:t>r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p</m:t>
        </m:r>
        <m:r>
          <m:t>r</m:t>
        </m:r>
        <m:r>
          <m:t>o</m:t>
        </m:r>
        <m:r>
          <m:t>c</m:t>
        </m:r>
        <m:r>
          <m:t>e</m:t>
        </m:r>
        <m:r>
          <m:t>e</m:t>
        </m:r>
        <m:r>
          <m:t>d</m:t>
        </m:r>
        <m:r>
          <m:t>s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t</m:t>
        </m:r>
        <m:r>
          <m:t>o</m:t>
        </m:r>
        <m:r>
          <m:t>t</m:t>
        </m:r>
        <m:r>
          <m:t>a</m:t>
        </m:r>
        <m:r>
          <m:t>l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 </m:t>
        </m:r>
      </m:oMath>
      <w:r>
        <w:t xml:space="preserve">7.7B as of April. Also watch for a potential</w:t>
      </w:r>
      <w:r>
        <w:t xml:space="preserve"> </w:t>
      </w:r>
      <w:r>
        <w:rPr>
          <w:b/>
          <w:bCs/>
        </w:rPr>
        <w:t xml:space="preserve">10th consecutive annual dividend increase</w:t>
      </w:r>
      <w:r>
        <w:t xml:space="preserve"> </w:t>
      </w:r>
      <w:r>
        <w:t xml:space="preserve">(last year's 15% hike to $0.82 was announced in late July alongside Q1). Cheung's first call will be scrutinized for any change in capital-allocation or M&amp;A posture.</w:t>
      </w:r>
    </w:p>
    <w:p>
      <w:pPr>
        <w:pStyle w:val="BodyText"/>
      </w:pPr>
      <w:r>
        <w:rPr>
          <w:b/>
          <w:bCs/>
        </w:rPr>
        <w:t xml:space="preserve">5. Structural margin/mix headwinds.</w:t>
      </w:r>
      <w:r>
        <w:t xml:space="preserve"> </w:t>
      </w:r>
      <w:r>
        <w:t xml:space="preserve">IRA-driven branded price declines and the biosimilar wave are the recurring bear points — lower drug prices compress distribution buy-margin dollars and Part B ASP economics. Management frames biosimilars as a long-term "win," positioned between generics and brands economically, but investors will want reassurance that specialty/oncology mix and operating efficiency (opex/gross profit improved ~293 bps in FY26) keep offsetting these.</w:t>
      </w:r>
    </w:p>
    <w:p>
      <w:r>
        <w:pict>
          <v:rect style="width:0;height:1.5pt" o:hralign="center" o:hrstd="t" o:hr="t"/>
        </w:pict>
      </w:r>
    </w:p>
    <w:bookmarkEnd w:id="12"/>
    <w:bookmarkStart w:id="13" w:name="Xa424d2e8bb3361f2b55ea39d11f1679c788a068"/>
    <w:p>
      <w:pPr>
        <w:pStyle w:val="Heading2"/>
      </w:pPr>
      <w:r>
        <w:t xml:space="preserve">4. Housekeeping &amp; risks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Comparability:</w:t>
      </w:r>
      <w:r>
        <w:t xml:space="preserve"> </w:t>
      </w:r>
      <w:r>
        <w:t xml:space="preserve">Norway (divested Jan 2026; ~$1B revenue / $74M OP in FY26) still sits in the year-ago base and creates a small drag on reported growth until it fully laps.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Insider activity:</w:t>
      </w:r>
      <w:r>
        <w:t xml:space="preserve"> </w:t>
      </w:r>
      <w:r>
        <w:t xml:space="preserve">CEO Brian Tyler and (advisor) Britt Vitalone both filed planned sales in July/August — routine 10b5-1 activity, but worth noting.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Overhangs:</w:t>
      </w:r>
      <w:r>
        <w:t xml:space="preserve"> </w:t>
      </w:r>
      <w:r>
        <w:t xml:space="preserve">ongoing opioid-related litigation liabilities (~$5B on the balance sheet), execution/separation risk on Med-Surg, and policy/reimbursement risk (IRA, drug pricing) remain the standing risk factors.</w:t>
      </w:r>
    </w:p>
    <w:p>
      <w:pPr>
        <w:pStyle w:val="FirstParagraph"/>
      </w:pPr>
      <w:r>
        <w:rPr>
          <w:b/>
          <w:bCs/>
        </w:rPr>
        <w:t xml:space="preserve">Bottom line:</w:t>
      </w:r>
      <w:r>
        <w:t xml:space="preserve"> </w:t>
      </w:r>
      <w:r>
        <w:t xml:space="preserve">MCK is a "show-me on the guide" quarter. The Q1 number is likely fine — the debate is whether specialty/oncology strength and buyback acceleration prompt a full-year raise, and how new CFO Kenny Cheung frames the Medical-Surgical spin, GLP-1 variability, and the IRA/biosimilar margin narrative on his debut call.</w:t>
      </w:r>
    </w:p>
    <w:p>
      <w:pPr>
        <w:pStyle w:val="BodyText"/>
      </w:pPr>
      <w:r>
        <w:rPr>
          <w:i/>
          <w:iCs/>
        </w:rPr>
        <w:t xml:space="preserve">Note: Consensus figures are drawn from public estimate aggregators (Zacks/Yahoo/Barchart) and should be treated as approximate; all company financials and guidance are from McKesson's FY26 Q4 earnings release and call (May 7, 2026).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2026-08-05T00:53:27Z</dcterms:created>
  <dcterms:modified xsi:type="dcterms:W3CDTF">2026-08-05T00:53:27Z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