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mckesson-fiscal-q1-2027-earnings-preview"/>
    <w:p>
      <w:pPr>
        <w:pStyle w:val="Heading1"/>
      </w:pPr>
      <w:r>
        <w:t xml:space="preserve">McKesson Fiscal Q1 2027 Earnings Preview</w:t>
      </w:r>
    </w:p>
    <w:p>
      <w:pPr>
        <w:pStyle w:val="BlockText"/>
      </w:pPr>
      <w:r>
        <w:rPr>
          <w:b/>
          <w:bCs/>
        </w:rPr>
        <w:t xml:space="preserve">Timing clarification:</w:t>
      </w:r>
      <w:r>
        <w:t xml:space="preserve"> </w:t>
      </w:r>
      <w:r>
        <w:t xml:space="preserve">McKesson is scheduled to report</w:t>
      </w:r>
      <w:r>
        <w:t xml:space="preserve"> </w:t>
      </w:r>
      <w:r>
        <w:rPr>
          <w:b/>
          <w:bCs/>
        </w:rPr>
        <w:t xml:space="preserve">today, Wednesday, August 5, 2026</w:t>
      </w:r>
      <w:r>
        <w:t xml:space="preserve">, after the market closes—not tomorrow. The earnings call begins at</w:t>
      </w:r>
      <w:r>
        <w:t xml:space="preserve"> </w:t>
      </w:r>
      <w:r>
        <w:rPr>
          <w:b/>
          <w:bCs/>
        </w:rPr>
        <w:t xml:space="preserve">4:30 p.m. Eastern Time</w:t>
      </w:r>
      <w:r>
        <w:t xml:space="preserve">. (</w:t>
      </w:r>
      <w:hyperlink r:id="rId9">
        <w:r>
          <w:rPr>
            <w:rStyle w:val="Hyperlink"/>
          </w:rPr>
          <w:t xml:space="preserve">mckesson.com</w:t>
        </w:r>
      </w:hyperlink>
      <w:r>
        <w:t xml:space="preserve">)</w:t>
      </w:r>
    </w:p>
    <w:bookmarkStart w:id="11"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Current expectation / outlook</w:t>
            </w:r>
          </w:p>
        </w:tc>
        <w:tc>
          <w:tcPr/>
          <w:p>
            <w:pPr>
              <w:pStyle w:val="Compact"/>
              <w:jc w:val="right"/>
            </w:pPr>
            <w:r>
              <w:t xml:space="preserve">Comparison</w:t>
            </w:r>
          </w:p>
        </w:tc>
      </w:tr>
      <w:tr>
        <w:tc>
          <w:tcPr/>
          <w:p>
            <w:pPr>
              <w:pStyle w:val="Compact"/>
            </w:pPr>
            <w:r>
              <w:t xml:space="preserve">Adjusted EPS consensus</w:t>
            </w:r>
          </w:p>
        </w:tc>
        <w:tc>
          <w:tcPr/>
          <w:p>
            <w:pPr>
              <w:pStyle w:val="Compact"/>
              <w:jc w:val="right"/>
            </w:pPr>
            <w:r>
              <w:rPr>
                <w:b/>
                <w:bCs/>
              </w:rPr>
              <w:t xml:space="preserve">~$9.56</w:t>
            </w:r>
          </w:p>
        </w:tc>
        <w:tc>
          <w:tcPr/>
          <w:p>
            <w:pPr>
              <w:pStyle w:val="Compact"/>
              <w:jc w:val="right"/>
            </w:pPr>
            <w:r>
              <w:t xml:space="preserve">$8.26 last year; approximately</w:t>
            </w:r>
            <w:r>
              <w:t xml:space="preserve"> </w:t>
            </w:r>
            <w:r>
              <w:rPr>
                <w:b/>
                <w:bCs/>
              </w:rPr>
              <w:t xml:space="preserve">16% growth</w:t>
            </w:r>
          </w:p>
        </w:tc>
      </w:tr>
      <w:tr>
        <w:tc>
          <w:tcPr/>
          <w:p>
            <w:pPr>
              <w:pStyle w:val="Compact"/>
            </w:pPr>
            <w:r>
              <w:t xml:space="preserve">Revenue consensus</w:t>
            </w:r>
          </w:p>
        </w:tc>
        <w:tc>
          <w:tcPr/>
          <w:p>
            <w:pPr>
              <w:pStyle w:val="Compact"/>
              <w:jc w:val="right"/>
            </w:pPr>
            <w:r>
              <w:rPr>
                <w:b/>
                <w:bCs/>
              </w:rPr>
              <w:t xml:space="preserve">~$103.9 billion</w:t>
            </w:r>
          </w:p>
        </w:tc>
        <w:tc>
          <w:tcPr/>
          <w:p>
            <w:pPr>
              <w:pStyle w:val="Compact"/>
              <w:jc w:val="right"/>
            </w:pPr>
            <w:r>
              <w:t xml:space="preserve">$97.8 billion last year; approximately</w:t>
            </w:r>
            <w:r>
              <w:t xml:space="preserve"> </w:t>
            </w:r>
            <w:r>
              <w:rPr>
                <w:b/>
                <w:bCs/>
              </w:rPr>
              <w:t xml:space="preserve">6% growth</w:t>
            </w:r>
          </w:p>
        </w:tc>
      </w:tr>
      <w:tr>
        <w:tc>
          <w:tcPr/>
          <w:p>
            <w:pPr>
              <w:pStyle w:val="Compact"/>
            </w:pPr>
            <w:r>
              <w:t xml:space="preserve">FY2027 adjusted EPS guidance</w:t>
            </w:r>
          </w:p>
        </w:tc>
        <w:tc>
          <w:tcPr/>
          <w:p>
            <w:pPr>
              <w:pStyle w:val="Compact"/>
              <w:jc w:val="right"/>
            </w:pPr>
            <m:oMath>
              <m:r>
                <m:t>43.80</m:t>
              </m:r>
              <m:r>
                <m:rPr>
                  <m:sty m:val="p"/>
                </m:rPr>
                <m:t>–</m:t>
              </m:r>
            </m:oMath>
            <w:r>
              <w:rPr>
                <w:b/>
                <w:bCs/>
              </w:rPr>
              <w:t xml:space="preserve">44.60</w:t>
            </w:r>
          </w:p>
        </w:tc>
        <w:tc>
          <w:tcPr/>
          <w:p>
            <w:pPr>
              <w:pStyle w:val="Compact"/>
              <w:jc w:val="right"/>
            </w:pPr>
            <w:r>
              <w:t xml:space="preserve">12%–14% reported growth</w:t>
            </w:r>
          </w:p>
        </w:tc>
      </w:tr>
      <w:tr>
        <w:tc>
          <w:tcPr/>
          <w:p>
            <w:pPr>
              <w:pStyle w:val="Compact"/>
            </w:pPr>
            <w:r>
              <w:t xml:space="preserve">FY2027 revenue outlook</w:t>
            </w:r>
          </w:p>
        </w:tc>
        <w:tc>
          <w:tcPr/>
          <w:p>
            <w:pPr>
              <w:pStyle w:val="Compact"/>
              <w:jc w:val="right"/>
            </w:pPr>
            <w:r>
              <w:rPr>
                <w:b/>
                <w:bCs/>
              </w:rPr>
              <w:t xml:space="preserve">5%–9% growth</w:t>
            </w:r>
          </w:p>
        </w:tc>
        <w:tc>
          <w:tcPr/>
          <w:p>
            <w:pPr>
              <w:pStyle w:val="Compact"/>
            </w:pPr>
          </w:p>
        </w:tc>
      </w:tr>
      <w:tr>
        <w:tc>
          <w:tcPr/>
          <w:p>
            <w:pPr>
              <w:pStyle w:val="Compact"/>
            </w:pPr>
            <w:r>
              <w:t xml:space="preserve">FY2027 adjusted operating-profit outlook</w:t>
            </w:r>
          </w:p>
        </w:tc>
        <w:tc>
          <w:tcPr/>
          <w:p>
            <w:pPr>
              <w:pStyle w:val="Compact"/>
              <w:jc w:val="right"/>
            </w:pPr>
            <w:r>
              <w:rPr>
                <w:b/>
                <w:bCs/>
              </w:rPr>
              <w:t xml:space="preserve">8%–12% growth</w:t>
            </w:r>
          </w:p>
        </w:tc>
        <w:tc>
          <w:tcPr/>
          <w:p>
            <w:pPr>
              <w:pStyle w:val="Compact"/>
            </w:pPr>
          </w:p>
        </w:tc>
      </w:tr>
      <w:tr>
        <w:tc>
          <w:tcPr/>
          <w:p>
            <w:pPr>
              <w:pStyle w:val="Compact"/>
            </w:pPr>
            <w:r>
              <w:t xml:space="preserve">FY2027 free-cash-flow outlook</w:t>
            </w:r>
          </w:p>
        </w:tc>
        <w:tc>
          <w:tcPr/>
          <w:p>
            <w:pPr>
              <w:pStyle w:val="Compact"/>
              <w:jc w:val="right"/>
            </w:pPr>
            <m:oMath>
              <m:r>
                <m:t>4.5</m:t>
              </m:r>
              <m:r>
                <m:rPr>
                  <m:sty m:val="p"/>
                </m:rPr>
                <m:t>–</m:t>
              </m:r>
            </m:oMath>
            <w:r>
              <w:rPr>
                <w:b/>
                <w:bCs/>
              </w:rPr>
              <w:t xml:space="preserve">4.9 billion</w:t>
            </w:r>
          </w:p>
        </w:tc>
        <w:tc>
          <w:tcPr/>
          <w:p>
            <w:pPr>
              <w:pStyle w:val="Compact"/>
              <w:jc w:val="right"/>
            </w:pPr>
            <w:r>
              <w:t xml:space="preserve">$5.4 billion in FY2026</w:t>
            </w:r>
          </w:p>
        </w:tc>
      </w:tr>
      <w:tr>
        <w:tc>
          <w:tcPr/>
          <w:p>
            <w:pPr>
              <w:pStyle w:val="Compact"/>
            </w:pPr>
            <w:r>
              <w:t xml:space="preserve">Planned FY2027 repurchases</w:t>
            </w:r>
          </w:p>
        </w:tc>
        <w:tc>
          <w:tcPr/>
          <w:p>
            <w:pPr>
              <w:pStyle w:val="Compact"/>
              <w:jc w:val="right"/>
            </w:pPr>
            <w:r>
              <w:rPr>
                <w:b/>
                <w:bCs/>
              </w:rPr>
              <w:t xml:space="preserve">Approximately $5 billion</w:t>
            </w:r>
          </w:p>
        </w:tc>
        <w:tc>
          <w:tcPr/>
          <w:p>
            <w:pPr>
              <w:pStyle w:val="Compact"/>
            </w:pPr>
          </w:p>
        </w:tc>
      </w:tr>
    </w:tbl>
    <w:p>
      <w:pPr>
        <w:pStyle w:val="BodyText"/>
      </w:pPr>
      <w:r>
        <w:t xml:space="preserve">Public consensus aggregators put fiscal Q1 adjusted EPS near $9.56 and revenue near $103.9 billion. Management’s full-year outlook assumes 116–118 million average diluted shares, a 17%–19% tax rate,</w:t>
      </w:r>
      <w:r>
        <w:t xml:space="preserve"> </w:t>
      </w:r>
      <m:oMath>
        <m:r>
          <m:t>380</m:t>
        </m:r>
        <m:r>
          <m:rPr>
            <m:sty m:val="p"/>
          </m:rPr>
          <m:t>–</m:t>
        </m:r>
      </m:oMath>
      <w:r>
        <w:t xml:space="preserve">420 million of interest expense and</w:t>
      </w:r>
      <w:r>
        <w:t xml:space="preserve"> </w:t>
      </w:r>
      <m:oMath>
        <m:r>
          <m:t>295</m:t>
        </m:r>
        <m:r>
          <m:rPr>
            <m:sty m:val="p"/>
          </m:rPr>
          <m:t>–</m:t>
        </m:r>
      </m:oMath>
      <w:r>
        <w:t xml:space="preserve">325 million of income attributable to noncontrolling interests. (</w:t>
      </w:r>
      <w:hyperlink r:id="rId10">
        <w:r>
          <w:rPr>
            <w:rStyle w:val="Hyperlink"/>
          </w:rPr>
          <w:t xml:space="preserve">marketbeat.com</w:t>
        </w:r>
      </w:hyperlink>
      <w:r>
        <w:t xml:space="preserve">)</w:t>
      </w:r>
    </w:p>
    <w:p>
      <w:pPr>
        <w:pStyle w:val="BodyText"/>
      </w:pPr>
      <w:r>
        <w:t xml:space="preserve">At the August 4 close of roughly</w:t>
      </w:r>
      <w:r>
        <w:t xml:space="preserve"> </w:t>
      </w:r>
      <w:r>
        <w:rPr>
          <w:b/>
          <w:bCs/>
        </w:rPr>
        <w:t xml:space="preserve">$830</w:t>
      </w:r>
      <w:r>
        <w:t xml:space="preserve">, MCK trades at approximately</w:t>
      </w:r>
      <w:r>
        <w:t xml:space="preserve"> </w:t>
      </w:r>
      <w:r>
        <w:rPr>
          <w:b/>
          <w:bCs/>
        </w:rPr>
        <w:t xml:space="preserve">18.8 times</w:t>
      </w:r>
      <w:r>
        <w:t xml:space="preserve"> </w:t>
      </w:r>
      <w:r>
        <w:t xml:space="preserve">the midpoint of FY2027 adjusted EPS guidance. That is not an extreme valuation for its earnings record, but it creates a higher bar than the headline consensus alone suggests: investors will probably want a clean operating beat and confidence in an eventual guidance increase.</w:t>
      </w:r>
    </w:p>
    <w:bookmarkEnd w:id="11"/>
    <w:bookmarkStart w:id="12" w:name="the-central-question"/>
    <w:p>
      <w:pPr>
        <w:pStyle w:val="Heading2"/>
      </w:pPr>
      <w:r>
        <w:t xml:space="preserve">The central question</w:t>
      </w:r>
    </w:p>
    <w:p>
      <w:pPr>
        <w:pStyle w:val="FirstParagraph"/>
      </w:pPr>
      <w:r>
        <w:t xml:space="preserve">The quarter is less about whether McKesson can generate another enormous revenue number and more about whether its</w:t>
      </w:r>
      <w:r>
        <w:t xml:space="preserve"> </w:t>
      </w:r>
      <w:r>
        <w:rPr>
          <w:b/>
          <w:bCs/>
        </w:rPr>
        <w:t xml:space="preserve">higher-margin growth platforms can offset pharmaceutical price deflation and rising below-the-line costs</w:t>
      </w:r>
      <w:r>
        <w:t xml:space="preserve">.</w:t>
      </w:r>
    </w:p>
    <w:p>
      <w:pPr>
        <w:pStyle w:val="BodyText"/>
      </w:pPr>
      <w:r>
        <w:t xml:space="preserve">A revenue miss caused by lower branded-drug prices would not necessarily be concerning. In fiscal Q4, branded pricing declines reduced North American Pharmaceutical revenue growth by approximately three percentage points, while neither those declines nor weaker sequential GLP-1 revenue affected segment operating profit. The more important measures are therefore:</w:t>
      </w:r>
    </w:p>
    <w:p>
      <w:pPr>
        <w:pStyle w:val="Compact"/>
        <w:numPr>
          <w:ilvl w:val="0"/>
          <w:numId w:val="1001"/>
        </w:numPr>
      </w:pPr>
      <w:r>
        <w:t xml:space="preserve">North American Pharmaceutical operating-profit growth;</w:t>
      </w:r>
    </w:p>
    <w:p>
      <w:pPr>
        <w:pStyle w:val="Compact"/>
        <w:numPr>
          <w:ilvl w:val="0"/>
          <w:numId w:val="1001"/>
        </w:numPr>
      </w:pPr>
      <w:r>
        <w:t xml:space="preserve">Organic growth in Oncology &amp; Multispecialty;</w:t>
      </w:r>
    </w:p>
    <w:p>
      <w:pPr>
        <w:pStyle w:val="Compact"/>
        <w:numPr>
          <w:ilvl w:val="0"/>
          <w:numId w:val="1001"/>
        </w:numPr>
      </w:pPr>
      <w:r>
        <w:t xml:space="preserve">Prescription Technology Solutions operating profit;</w:t>
      </w:r>
    </w:p>
    <w:p>
      <w:pPr>
        <w:pStyle w:val="Compact"/>
        <w:numPr>
          <w:ilvl w:val="0"/>
          <w:numId w:val="1001"/>
        </w:numPr>
      </w:pPr>
      <w:r>
        <w:t xml:space="preserve">The quality of any FY2027 guidance change; and</w:t>
      </w:r>
    </w:p>
    <w:p>
      <w:pPr>
        <w:pStyle w:val="Compact"/>
        <w:numPr>
          <w:ilvl w:val="0"/>
          <w:numId w:val="1001"/>
        </w:numPr>
      </w:pPr>
      <w:r>
        <w:t xml:space="preserve">Execution on the Medical-Surgical separation and related capital return.</w:t>
      </w:r>
    </w:p>
    <w:bookmarkEnd w:id="12"/>
    <w:bookmarkStart w:id="19" w:name="what-to-watch"/>
    <w:p>
      <w:pPr>
        <w:pStyle w:val="Heading2"/>
      </w:pPr>
      <w:r>
        <w:t xml:space="preserve">What to watch</w:t>
      </w:r>
    </w:p>
    <w:bookmarkStart w:id="14" w:name="X4a8bebb88ac639373e6be4d8696f5a85a3c286e"/>
    <w:p>
      <w:pPr>
        <w:pStyle w:val="Heading3"/>
      </w:pPr>
      <w:r>
        <w:t xml:space="preserve">1. North American Pharmaceutical: prioritize profit over revenue</w:t>
      </w:r>
    </w:p>
    <w:p>
      <w:pPr>
        <w:pStyle w:val="FirstParagraph"/>
      </w:pPr>
      <w:r>
        <w:t xml:space="preserve">Management entered FY2027 expecting this segment to deliver:</w:t>
      </w:r>
    </w:p>
    <w:p>
      <w:pPr>
        <w:pStyle w:val="Compact"/>
        <w:numPr>
          <w:ilvl w:val="0"/>
          <w:numId w:val="1002"/>
        </w:numPr>
      </w:pPr>
      <w:r>
        <w:rPr>
          <w:b/>
          <w:bCs/>
        </w:rPr>
        <w:t xml:space="preserve">4%–8% revenue growth</w:t>
      </w:r>
    </w:p>
    <w:p>
      <w:pPr>
        <w:pStyle w:val="Compact"/>
        <w:numPr>
          <w:ilvl w:val="0"/>
          <w:numId w:val="1002"/>
        </w:numPr>
      </w:pPr>
      <w:r>
        <w:rPr>
          <w:b/>
          <w:bCs/>
        </w:rPr>
        <w:t xml:space="preserve">5.5%–9.5% adjusted operating-profit growth</w:t>
      </w:r>
    </w:p>
    <w:p>
      <w:pPr>
        <w:pStyle w:val="FirstParagraph"/>
      </w:pPr>
      <w:r>
        <w:t xml:space="preserve">Fiscal Q4 provided a useful template. Revenue increased only 3%, but adjusted operating profit rose 11% as specialty distribution and operating efficiency outweighed branded-drug price pressure. GLP-1 distribution revenue was $14 billion, up 22% year over year but down 4% sequentially; full-year GLP-1 revenue increased 27% to $53 billion. (</w:t>
      </w:r>
      <w:hyperlink r:id="rId13">
        <w:r>
          <w:rPr>
            <w:rStyle w:val="Hyperlink"/>
          </w:rPr>
          <w:t xml:space="preserve">s24.q4cdn.com</w:t>
        </w:r>
      </w:hyperlink>
      <w:r>
        <w:t xml:space="preserve">)</w:t>
      </w:r>
    </w:p>
    <w:p>
      <w:pPr>
        <w:pStyle w:val="BodyText"/>
      </w:pPr>
      <w:r>
        <w:t xml:space="preserve">Investors should focus on:</w:t>
      </w:r>
    </w:p>
    <w:p>
      <w:pPr>
        <w:pStyle w:val="Compact"/>
        <w:numPr>
          <w:ilvl w:val="0"/>
          <w:numId w:val="1003"/>
        </w:numPr>
      </w:pPr>
      <w:r>
        <w:t xml:space="preserve">Whether GLP-1 volumes resume sequential growth;</w:t>
      </w:r>
    </w:p>
    <w:p>
      <w:pPr>
        <w:pStyle w:val="Compact"/>
        <w:numPr>
          <w:ilvl w:val="0"/>
          <w:numId w:val="1003"/>
        </w:numPr>
      </w:pPr>
      <w:r>
        <w:t xml:space="preserve">Specialty-product growth, particularly through health systems;</w:t>
      </w:r>
    </w:p>
    <w:p>
      <w:pPr>
        <w:pStyle w:val="Compact"/>
        <w:numPr>
          <w:ilvl w:val="0"/>
          <w:numId w:val="1003"/>
        </w:numPr>
      </w:pPr>
      <w:r>
        <w:t xml:space="preserve">Prescription utilization, which management previously described as stable;</w:t>
      </w:r>
    </w:p>
    <w:p>
      <w:pPr>
        <w:pStyle w:val="Compact"/>
        <w:numPr>
          <w:ilvl w:val="0"/>
          <w:numId w:val="1003"/>
        </w:numPr>
      </w:pPr>
      <w:r>
        <w:t xml:space="preserve">Margin resilience as IRA-related price changes flow through revenue;</w:t>
      </w:r>
    </w:p>
    <w:p>
      <w:pPr>
        <w:pStyle w:val="Compact"/>
        <w:numPr>
          <w:ilvl w:val="0"/>
          <w:numId w:val="1003"/>
        </w:numPr>
      </w:pPr>
      <w:r>
        <w:t xml:space="preserve">Commentary on biosimilars and Part B oncology economics.</w:t>
      </w:r>
    </w:p>
    <w:p>
      <w:pPr>
        <w:pStyle w:val="FirstParagraph"/>
      </w:pPr>
      <w:r>
        <w:rPr>
          <w:b/>
          <w:bCs/>
        </w:rPr>
        <w:t xml:space="preserve">Best outcome:</w:t>
      </w:r>
      <w:r>
        <w:t xml:space="preserve"> </w:t>
      </w:r>
      <w:r>
        <w:t xml:space="preserve">revenue is noisy, but operating profit grows near or above the upper end of the full-year range.</w:t>
      </w:r>
    </w:p>
    <w:p>
      <w:pPr>
        <w:pStyle w:val="BodyText"/>
      </w:pPr>
      <w:r>
        <w:rPr>
          <w:b/>
          <w:bCs/>
        </w:rPr>
        <w:t xml:space="preserve">Warning sign:</w:t>
      </w:r>
      <w:r>
        <w:t xml:space="preserve"> </w:t>
      </w:r>
      <w:r>
        <w:t xml:space="preserve">price deflation or GLP-1 volatility begins affecting profit rather than only reported revenue.</w:t>
      </w:r>
    </w:p>
    <w:bookmarkEnd w:id="14"/>
    <w:bookmarkStart w:id="15" w:name="X6bb6e312871742472e43e9e945478298d318d51"/>
    <w:p>
      <w:pPr>
        <w:pStyle w:val="Heading3"/>
      </w:pPr>
      <w:r>
        <w:t xml:space="preserve">2. Oncology &amp; Multispecialty: the most important growth engine</w:t>
      </w:r>
    </w:p>
    <w:p>
      <w:pPr>
        <w:pStyle w:val="FirstParagraph"/>
      </w:pPr>
      <w:r>
        <w:t xml:space="preserve">This is increasingly the segment that supports McKesson’s valuation. Management expects FY2027 revenue growth of</w:t>
      </w:r>
      <w:r>
        <w:t xml:space="preserve"> </w:t>
      </w:r>
      <w:r>
        <w:rPr>
          <w:b/>
          <w:bCs/>
        </w:rPr>
        <w:t xml:space="preserve">14.5%–18.5%</w:t>
      </w:r>
      <w:r>
        <w:t xml:space="preserve"> </w:t>
      </w:r>
      <w:r>
        <w:t xml:space="preserve">and operating-profit growth of</w:t>
      </w:r>
      <w:r>
        <w:t xml:space="preserve"> </w:t>
      </w:r>
      <w:r>
        <w:rPr>
          <w:b/>
          <w:bCs/>
        </w:rPr>
        <w:t xml:space="preserve">13.5%–17.5%</w:t>
      </w:r>
      <w:r>
        <w:t xml:space="preserve">.</w:t>
      </w:r>
    </w:p>
    <w:p>
      <w:pPr>
        <w:pStyle w:val="BodyText"/>
      </w:pPr>
      <w:r>
        <w:t xml:space="preserve">Fiscal Q4 revenue rose 35% and adjusted operating profit increased 53%. Acquisitions contributed approximately 13 percentage points to revenue growth, but organic operating profit still grew approximately 13%. Management has characterized that low-teens organic rate as representative of the underlying business. (</w:t>
      </w:r>
      <w:hyperlink r:id="rId13">
        <w:r>
          <w:rPr>
            <w:rStyle w:val="Hyperlink"/>
          </w:rPr>
          <w:t xml:space="preserve">s24.q4cdn.com</w:t>
        </w:r>
      </w:hyperlink>
      <w:r>
        <w:t xml:space="preserve">)</w:t>
      </w:r>
    </w:p>
    <w:p>
      <w:pPr>
        <w:pStyle w:val="BodyText"/>
      </w:pPr>
      <w:r>
        <w:t xml:space="preserve">The Q1 comparison requires care:</w:t>
      </w:r>
    </w:p>
    <w:p>
      <w:pPr>
        <w:pStyle w:val="Compact"/>
        <w:numPr>
          <w:ilvl w:val="0"/>
          <w:numId w:val="1004"/>
        </w:numPr>
      </w:pPr>
      <w:r>
        <w:t xml:space="preserve">PRISM Vision, acquired April 1, 2025, is now fully lapped.</w:t>
      </w:r>
    </w:p>
    <w:p>
      <w:pPr>
        <w:pStyle w:val="Compact"/>
        <w:numPr>
          <w:ilvl w:val="0"/>
          <w:numId w:val="1004"/>
        </w:numPr>
      </w:pPr>
      <w:r>
        <w:t xml:space="preserve">Core Ventures closed June 2, 2025, so the quarter still gets roughly two months of incremental year-over-year ownership contribution.</w:t>
      </w:r>
    </w:p>
    <w:p>
      <w:pPr>
        <w:pStyle w:val="FirstParagraph"/>
      </w:pPr>
      <w:r>
        <w:t xml:space="preserve">The report should help investors distinguish acquisition-related growth from:</w:t>
      </w:r>
    </w:p>
    <w:p>
      <w:pPr>
        <w:pStyle w:val="Compact"/>
        <w:numPr>
          <w:ilvl w:val="0"/>
          <w:numId w:val="1005"/>
        </w:numPr>
      </w:pPr>
      <w:r>
        <w:t xml:space="preserve">Provider additions to the U.S. Oncology Network;</w:t>
      </w:r>
    </w:p>
    <w:p>
      <w:pPr>
        <w:pStyle w:val="Compact"/>
        <w:numPr>
          <w:ilvl w:val="0"/>
          <w:numId w:val="1005"/>
        </w:numPr>
      </w:pPr>
      <w:r>
        <w:t xml:space="preserve">Specialty-distribution volume;</w:t>
      </w:r>
    </w:p>
    <w:p>
      <w:pPr>
        <w:pStyle w:val="Compact"/>
        <w:numPr>
          <w:ilvl w:val="0"/>
          <w:numId w:val="1005"/>
        </w:numPr>
      </w:pPr>
      <w:r>
        <w:t xml:space="preserve">PRISM’s ophthalmology and retina expansion;</w:t>
      </w:r>
    </w:p>
    <w:p>
      <w:pPr>
        <w:pStyle w:val="Compact"/>
        <w:numPr>
          <w:ilvl w:val="0"/>
          <w:numId w:val="1005"/>
        </w:numPr>
      </w:pPr>
      <w:r>
        <w:t xml:space="preserve">Ontada data and analytics growth;</w:t>
      </w:r>
    </w:p>
    <w:p>
      <w:pPr>
        <w:pStyle w:val="Compact"/>
        <w:numPr>
          <w:ilvl w:val="0"/>
          <w:numId w:val="1005"/>
        </w:numPr>
      </w:pPr>
      <w:r>
        <w:t xml:space="preserve">Clinical-research activity through SCRI.</w:t>
      </w:r>
    </w:p>
    <w:p>
      <w:pPr>
        <w:pStyle w:val="FirstParagraph"/>
      </w:pPr>
      <w:r>
        <w:t xml:space="preserve">A result around</w:t>
      </w:r>
      <w:r>
        <w:t xml:space="preserve"> </w:t>
      </w:r>
      <w:r>
        <w:rPr>
          <w:b/>
          <w:bCs/>
        </w:rPr>
        <w:t xml:space="preserve">13% organic operating-profit growth</w:t>
      </w:r>
      <w:r>
        <w:t xml:space="preserve"> </w:t>
      </w:r>
      <w:r>
        <w:t xml:space="preserve">would support the long-term thesis. Material deceleration would be more consequential than a consolidated revenue miss.</w:t>
      </w:r>
    </w:p>
    <w:bookmarkEnd w:id="15"/>
    <w:bookmarkStart w:id="16" w:name="X532dec2f64baabfb8924af8189af4c5e4b3f53e"/>
    <w:p>
      <w:pPr>
        <w:pStyle w:val="Heading3"/>
      </w:pPr>
      <w:r>
        <w:t xml:space="preserve">3. Prescription Technology Solutions: ignore some of the revenue lumpiness</w:t>
      </w:r>
    </w:p>
    <w:p>
      <w:pPr>
        <w:pStyle w:val="FirstParagraph"/>
      </w:pPr>
      <w:r>
        <w:t xml:space="preserve">McKesson expects only</w:t>
      </w:r>
      <w:r>
        <w:t xml:space="preserve"> </w:t>
      </w:r>
      <w:r>
        <w:rPr>
          <w:b/>
          <w:bCs/>
        </w:rPr>
        <w:t xml:space="preserve">2.5%–6.5% revenue growth</w:t>
      </w:r>
      <w:r>
        <w:t xml:space="preserve"> </w:t>
      </w:r>
      <w:r>
        <w:t xml:space="preserve">from Prescription Technology Solutions in FY2027, but</w:t>
      </w:r>
      <w:r>
        <w:t xml:space="preserve"> </w:t>
      </w:r>
      <w:r>
        <w:rPr>
          <w:b/>
          <w:bCs/>
        </w:rPr>
        <w:t xml:space="preserve">11%–15% operating-profit growth</w:t>
      </w:r>
      <w:r>
        <w:t xml:space="preserve">. That spread reflects the segment’s mix: third-party logistics represents roughly 55% of revenue and can fluctuate with product and program launches, while technology-based access and affordability programs drive more attractive profit growth. (</w:t>
      </w:r>
      <w:hyperlink r:id="rId13">
        <w:r>
          <w:rPr>
            <w:rStyle w:val="Hyperlink"/>
          </w:rPr>
          <w:t xml:space="preserve">s24.q4cdn.com</w:t>
        </w:r>
      </w:hyperlink>
      <w:r>
        <w:t xml:space="preserve">)</w:t>
      </w:r>
    </w:p>
    <w:p>
      <w:pPr>
        <w:pStyle w:val="BodyText"/>
      </w:pPr>
      <w:r>
        <w:t xml:space="preserve">Questions for the call include:</w:t>
      </w:r>
    </w:p>
    <w:p>
      <w:pPr>
        <w:pStyle w:val="Compact"/>
        <w:numPr>
          <w:ilvl w:val="0"/>
          <w:numId w:val="1006"/>
        </w:numPr>
      </w:pPr>
      <w:r>
        <w:t xml:space="preserve">Is operating profit still tracking toward double-digit growth?</w:t>
      </w:r>
    </w:p>
    <w:p>
      <w:pPr>
        <w:pStyle w:val="Compact"/>
        <w:numPr>
          <w:ilvl w:val="0"/>
          <w:numId w:val="1006"/>
        </w:numPr>
      </w:pPr>
      <w:r>
        <w:t xml:space="preserve">Is demand for GLP-1 prior-authorization and affordability services holding up?</w:t>
      </w:r>
    </w:p>
    <w:p>
      <w:pPr>
        <w:pStyle w:val="Compact"/>
        <w:numPr>
          <w:ilvl w:val="0"/>
          <w:numId w:val="1006"/>
        </w:numPr>
      </w:pPr>
      <w:r>
        <w:t xml:space="preserve">Are any biopharma program launches delayed?</w:t>
      </w:r>
    </w:p>
    <w:p>
      <w:pPr>
        <w:pStyle w:val="Compact"/>
        <w:numPr>
          <w:ilvl w:val="0"/>
          <w:numId w:val="1006"/>
        </w:numPr>
      </w:pPr>
      <w:r>
        <w:t xml:space="preserve">Are restructuring and technology investments affecting near-term margins?</w:t>
      </w:r>
    </w:p>
    <w:p>
      <w:pPr>
        <w:pStyle w:val="FirstParagraph"/>
      </w:pPr>
      <w:r>
        <w:t xml:space="preserve">A modest revenue miss would be tolerable if access-solutions demand and operating profit remain strong. A slowdown in operating profit would be more meaningful.</w:t>
      </w:r>
    </w:p>
    <w:bookmarkEnd w:id="16"/>
    <w:bookmarkStart w:id="17" w:name="X154cce8c8f7aacc07b8cb5b0586449100a01ebb"/>
    <w:p>
      <w:pPr>
        <w:pStyle w:val="Heading3"/>
      </w:pPr>
      <w:r>
        <w:t xml:space="preserve">4. Medical-Surgical separation and capital deployment</w:t>
      </w:r>
    </w:p>
    <w:p>
      <w:pPr>
        <w:pStyle w:val="FirstParagraph"/>
      </w:pPr>
      <w:r>
        <w:t xml:space="preserve">McKesson previously expected to issue as much as</w:t>
      </w:r>
      <w:r>
        <w:t xml:space="preserve"> </w:t>
      </w:r>
      <w:r>
        <w:rPr>
          <w:b/>
          <w:bCs/>
        </w:rPr>
        <w:t xml:space="preserve">$2.25 billion of additional Medical-Surgical term loans during the second half of fiscal Q1</w:t>
      </w:r>
      <w:r>
        <w:t xml:space="preserve">, supplementing the initial $1 billion term-loan financing. Apollo also agreed to invest $1.25 billion for approximately 13% of the business, implying a roughly $13 billion enterprise value. Proceeds are intended principally for share repurchases. (</w:t>
      </w:r>
      <w:hyperlink r:id="rId13">
        <w:r>
          <w:rPr>
            <w:rStyle w:val="Hyperlink"/>
          </w:rPr>
          <w:t xml:space="preserve">s24.q4cdn.com</w:t>
        </w:r>
      </w:hyperlink>
      <w:r>
        <w:t xml:space="preserve">)</w:t>
      </w:r>
    </w:p>
    <w:p>
      <w:pPr>
        <w:pStyle w:val="BodyText"/>
      </w:pPr>
      <w:r>
        <w:t xml:space="preserve">Investors need updates on:</w:t>
      </w:r>
    </w:p>
    <w:p>
      <w:pPr>
        <w:pStyle w:val="Compact"/>
        <w:numPr>
          <w:ilvl w:val="0"/>
          <w:numId w:val="1007"/>
        </w:numPr>
      </w:pPr>
      <w:r>
        <w:t xml:space="preserve">Regulatory approval and timing of the Apollo transaction;</w:t>
      </w:r>
    </w:p>
    <w:p>
      <w:pPr>
        <w:pStyle w:val="Compact"/>
        <w:numPr>
          <w:ilvl w:val="0"/>
          <w:numId w:val="1007"/>
        </w:numPr>
      </w:pPr>
      <w:r>
        <w:t xml:space="preserve">Completion and pricing of the additional financing;</w:t>
      </w:r>
    </w:p>
    <w:p>
      <w:pPr>
        <w:pStyle w:val="Compact"/>
        <w:numPr>
          <w:ilvl w:val="0"/>
          <w:numId w:val="1007"/>
        </w:numPr>
      </w:pPr>
      <w:r>
        <w:t xml:space="preserve">The eventual IPO or separation timetable;</w:t>
      </w:r>
    </w:p>
    <w:p>
      <w:pPr>
        <w:pStyle w:val="Compact"/>
        <w:numPr>
          <w:ilvl w:val="0"/>
          <w:numId w:val="1007"/>
        </w:numPr>
      </w:pPr>
      <w:r>
        <w:t xml:space="preserve">Whether the expected $5 billion repurchase program is proceeding as planned;</w:t>
      </w:r>
    </w:p>
    <w:p>
      <w:pPr>
        <w:pStyle w:val="Compact"/>
        <w:numPr>
          <w:ilvl w:val="0"/>
          <w:numId w:val="1007"/>
        </w:numPr>
      </w:pPr>
      <w:r>
        <w:t xml:space="preserve">The associated interest and noncontrolling-interest expense.</w:t>
      </w:r>
    </w:p>
    <w:p>
      <w:pPr>
        <w:pStyle w:val="FirstParagraph"/>
      </w:pPr>
      <w:r>
        <w:t xml:space="preserve">The key distinction is between</w:t>
      </w:r>
      <w:r>
        <w:t xml:space="preserve"> </w:t>
      </w:r>
      <w:r>
        <w:rPr>
          <w:b/>
          <w:bCs/>
        </w:rPr>
        <w:t xml:space="preserve">economic progress</w:t>
      </w:r>
      <w:r>
        <w:t xml:space="preserve"> </w:t>
      </w:r>
      <w:r>
        <w:t xml:space="preserve">and</w:t>
      </w:r>
      <w:r>
        <w:t xml:space="preserve"> </w:t>
      </w:r>
      <w:r>
        <w:rPr>
          <w:b/>
          <w:bCs/>
        </w:rPr>
        <w:t xml:space="preserve">accounting dilution</w:t>
      </w:r>
      <w:r>
        <w:t xml:space="preserve">. The separation financing raises interest expense, while Apollo’s stake will increase noncontrolling-interest deductions. A good report will show that operating growth and share-count reduction comfortably offset those headwinds.</w:t>
      </w:r>
    </w:p>
    <w:bookmarkEnd w:id="17"/>
    <w:bookmarkStart w:id="18" w:name="X74999bc9aa54b963356937aaad38b02f4d8f011"/>
    <w:p>
      <w:pPr>
        <w:pStyle w:val="Heading3"/>
      </w:pPr>
      <w:r>
        <w:t xml:space="preserve">5. Full-year guidance: quality matters more than the size of the raise</w:t>
      </w:r>
    </w:p>
    <w:p>
      <w:pPr>
        <w:pStyle w:val="FirstParagraph"/>
      </w:pPr>
      <w:r>
        <w:t xml:space="preserve">The midpoint of FY2027 guidance is</w:t>
      </w:r>
      <w:r>
        <w:t xml:space="preserve"> </w:t>
      </w:r>
      <w:r>
        <w:rPr>
          <w:b/>
          <w:bCs/>
        </w:rPr>
        <w:t xml:space="preserve">$44.20</w:t>
      </w:r>
      <w:r>
        <w:t xml:space="preserve">. Excluding prior-year Norway earnings and a $51 million U.S. Oncology Network investment gain, management said the outlook represents 14%–16% underlying EPS growth. (</w:t>
      </w:r>
      <w:hyperlink r:id="rId13">
        <w:r>
          <w:rPr>
            <w:rStyle w:val="Hyperlink"/>
          </w:rPr>
          <w:t xml:space="preserve">s24.q4cdn.com</w:t>
        </w:r>
      </w:hyperlink>
      <w:r>
        <w:t xml:space="preserve">)</w:t>
      </w:r>
    </w:p>
    <w:p>
      <w:pPr>
        <w:pStyle w:val="BodyText"/>
      </w:pPr>
      <w:r>
        <w:t xml:space="preserve">A guidance increase would be encouraging, but investors should examine its source:</w:t>
      </w:r>
    </w:p>
    <w:p>
      <w:pPr>
        <w:pStyle w:val="BodyText"/>
      </w:pPr>
      <w:r>
        <w:rPr>
          <w:b/>
          <w:bCs/>
        </w:rPr>
        <w:t xml:space="preserve">Higher-quality increase</w:t>
      </w:r>
    </w:p>
    <w:p>
      <w:pPr>
        <w:pStyle w:val="Compact"/>
        <w:numPr>
          <w:ilvl w:val="0"/>
          <w:numId w:val="1008"/>
        </w:numPr>
      </w:pPr>
      <w:r>
        <w:t xml:space="preserve">Stronger segment operating profit;</w:t>
      </w:r>
    </w:p>
    <w:p>
      <w:pPr>
        <w:pStyle w:val="Compact"/>
        <w:numPr>
          <w:ilvl w:val="0"/>
          <w:numId w:val="1008"/>
        </w:numPr>
      </w:pPr>
      <w:r>
        <w:t xml:space="preserve">Better organic oncology growth;</w:t>
      </w:r>
    </w:p>
    <w:p>
      <w:pPr>
        <w:pStyle w:val="Compact"/>
        <w:numPr>
          <w:ilvl w:val="0"/>
          <w:numId w:val="1008"/>
        </w:numPr>
      </w:pPr>
      <w:r>
        <w:t xml:space="preserve">Strong Prescription Technology performance;</w:t>
      </w:r>
    </w:p>
    <w:p>
      <w:pPr>
        <w:pStyle w:val="Compact"/>
        <w:numPr>
          <w:ilvl w:val="0"/>
          <w:numId w:val="1008"/>
        </w:numPr>
      </w:pPr>
      <w:r>
        <w:t xml:space="preserve">Sustainable distribution efficiency.</w:t>
      </w:r>
    </w:p>
    <w:p>
      <w:pPr>
        <w:pStyle w:val="FirstParagraph"/>
      </w:pPr>
      <w:r>
        <w:rPr>
          <w:b/>
          <w:bCs/>
        </w:rPr>
        <w:t xml:space="preserve">Lower-quality increase</w:t>
      </w:r>
    </w:p>
    <w:p>
      <w:pPr>
        <w:pStyle w:val="Compact"/>
        <w:numPr>
          <w:ilvl w:val="0"/>
          <w:numId w:val="1009"/>
        </w:numPr>
      </w:pPr>
      <w:r>
        <w:t xml:space="preserve">Discrete tax benefits;</w:t>
      </w:r>
    </w:p>
    <w:p>
      <w:pPr>
        <w:pStyle w:val="Compact"/>
        <w:numPr>
          <w:ilvl w:val="0"/>
          <w:numId w:val="1009"/>
        </w:numPr>
      </w:pPr>
      <w:r>
        <w:t xml:space="preserve">Faster share repurchases alone;</w:t>
      </w:r>
    </w:p>
    <w:p>
      <w:pPr>
        <w:pStyle w:val="Compact"/>
        <w:numPr>
          <w:ilvl w:val="0"/>
          <w:numId w:val="1009"/>
        </w:numPr>
      </w:pPr>
      <w:r>
        <w:t xml:space="preserve">Lower corporate expense timing;</w:t>
      </w:r>
    </w:p>
    <w:p>
      <w:pPr>
        <w:pStyle w:val="Compact"/>
        <w:numPr>
          <w:ilvl w:val="0"/>
          <w:numId w:val="1009"/>
        </w:numPr>
      </w:pPr>
      <w:r>
        <w:t xml:space="preserve">Non-operating investment gains.</w:t>
      </w:r>
    </w:p>
    <w:p>
      <w:pPr>
        <w:pStyle w:val="FirstParagraph"/>
      </w:pPr>
      <w:r>
        <w:t xml:space="preserve">Maintaining guidance would not automatically be disappointing after one quarter, particularly given the moving pieces around Medical-Surgical financing. Still, a strong Q1 without at least a more constructive full-year tone could be viewed as conservative.</w:t>
      </w:r>
    </w:p>
    <w:bookmarkEnd w:id="18"/>
    <w:bookmarkEnd w:id="19"/>
    <w:bookmarkStart w:id="24" w:name="other-considerations"/>
    <w:p>
      <w:pPr>
        <w:pStyle w:val="Heading2"/>
      </w:pPr>
      <w:r>
        <w:t xml:space="preserve">Other considerations</w:t>
      </w:r>
    </w:p>
    <w:bookmarkStart w:id="21" w:name="X53ca02acf4d21f4faa663ac8b8dd9f06a9d2b8c"/>
    <w:p>
      <w:pPr>
        <w:pStyle w:val="Heading3"/>
      </w:pPr>
      <w:r>
        <w:t xml:space="preserve">Cash flow will likely look seasonally weak</w:t>
      </w:r>
    </w:p>
    <w:p>
      <w:pPr>
        <w:pStyle w:val="FirstParagraph"/>
      </w:pPr>
      <w:r>
        <w:t xml:space="preserve">McKesson’s first-quarter cash flow is heavily affected by working-capital timing. Fiscal Q1 2026 free cash flow was</w:t>
      </w:r>
      <w:r>
        <w:t xml:space="preserve"> </w:t>
      </w:r>
      <w:r>
        <w:rPr>
          <w:b/>
          <w:bCs/>
        </w:rPr>
        <w:t xml:space="preserve">negative $1.1 billion</w:t>
      </w:r>
      <w:r>
        <w:t xml:space="preserve">, before the company finished the year at positive $5.4 billion. Investors should not extrapolate one quarter’s cash consumption without examining receivables, inventory and vendor-payment timing. (</w:t>
      </w:r>
      <w:hyperlink r:id="rId20">
        <w:r>
          <w:rPr>
            <w:rStyle w:val="Hyperlink"/>
          </w:rPr>
          <w:t xml:space="preserve">mckesson.com</w:t>
        </w:r>
      </w:hyperlink>
      <w:r>
        <w:t xml:space="preserve">)</w:t>
      </w:r>
    </w:p>
    <w:p>
      <w:pPr>
        <w:pStyle w:val="BodyText"/>
      </w:pPr>
      <w:r>
        <w:t xml:space="preserve">The more relevant issue is whether management remains comfortable with the FY2027 free-cash-flow target of</w:t>
      </w:r>
      <w:r>
        <w:t xml:space="preserve"> </w:t>
      </w:r>
      <m:oMath>
        <m:r>
          <m:t>4.5</m:t>
        </m:r>
        <m:r>
          <m:rPr>
            <m:sty m:val="p"/>
          </m:rPr>
          <m:t>–</m:t>
        </m:r>
      </m:oMath>
      <w:r>
        <w:t xml:space="preserve">4.9 billion.</w:t>
      </w:r>
    </w:p>
    <w:bookmarkEnd w:id="21"/>
    <w:bookmarkStart w:id="23" w:name="first-earnings-call-for-the-new-cfo"/>
    <w:p>
      <w:pPr>
        <w:pStyle w:val="Heading3"/>
      </w:pPr>
      <w:r>
        <w:t xml:space="preserve">First earnings call for the new CFO</w:t>
      </w:r>
    </w:p>
    <w:p>
      <w:pPr>
        <w:pStyle w:val="FirstParagraph"/>
      </w:pPr>
      <w:r>
        <w:t xml:space="preserve">Kenny Cheung became CFO effective May 29, succeeding Britt Vitalone. This will be his first quarterly report in the role, making commentary around guidance philosophy, capital deployment and separation accounting particularly relevant. (</w:t>
      </w:r>
      <w:hyperlink r:id="rId22">
        <w:r>
          <w:rPr>
            <w:rStyle w:val="Hyperlink"/>
          </w:rPr>
          <w:t xml:space="preserve">mckesson.com</w:t>
        </w:r>
      </w:hyperlink>
      <w:r>
        <w:t xml:space="preserve">)</w:t>
      </w:r>
    </w:p>
    <w:bookmarkEnd w:id="23"/>
    <w:bookmarkEnd w:id="24"/>
    <w:bookmarkStart w:id="28" w:name="potential-market-reactions"/>
    <w:p>
      <w:pPr>
        <w:pStyle w:val="Heading2"/>
      </w:pPr>
      <w:r>
        <w:t xml:space="preserve">Potential market reactions</w:t>
      </w:r>
    </w:p>
    <w:bookmarkStart w:id="25" w:name="bullish"/>
    <w:p>
      <w:pPr>
        <w:pStyle w:val="Heading3"/>
      </w:pPr>
      <w:r>
        <w:t xml:space="preserve">Bullish</w:t>
      </w:r>
    </w:p>
    <w:p>
      <w:pPr>
        <w:pStyle w:val="Compact"/>
        <w:numPr>
          <w:ilvl w:val="0"/>
          <w:numId w:val="1010"/>
        </w:numPr>
      </w:pPr>
      <w:r>
        <w:t xml:space="preserve">Adjusted EPS meaningfully above $9.56;</w:t>
      </w:r>
    </w:p>
    <w:p>
      <w:pPr>
        <w:pStyle w:val="Compact"/>
        <w:numPr>
          <w:ilvl w:val="0"/>
          <w:numId w:val="1010"/>
        </w:numPr>
      </w:pPr>
      <w:r>
        <w:t xml:space="preserve">North American Pharmaceutical profit growth near or above its full-year range;</w:t>
      </w:r>
    </w:p>
    <w:p>
      <w:pPr>
        <w:pStyle w:val="Compact"/>
        <w:numPr>
          <w:ilvl w:val="0"/>
          <w:numId w:val="1010"/>
        </w:numPr>
      </w:pPr>
      <w:r>
        <w:t xml:space="preserve">Oncology &amp; Multispecialty organic operating-profit growth around 13% or better;</w:t>
      </w:r>
    </w:p>
    <w:p>
      <w:pPr>
        <w:pStyle w:val="Compact"/>
        <w:numPr>
          <w:ilvl w:val="0"/>
          <w:numId w:val="1010"/>
        </w:numPr>
      </w:pPr>
      <w:r>
        <w:t xml:space="preserve">Prescription Technology operating profit up double digits;</w:t>
      </w:r>
    </w:p>
    <w:p>
      <w:pPr>
        <w:pStyle w:val="Compact"/>
        <w:numPr>
          <w:ilvl w:val="0"/>
          <w:numId w:val="1010"/>
        </w:numPr>
      </w:pPr>
      <w:r>
        <w:t xml:space="preserve">FY2027 EPS guidance raised for operational reasons;</w:t>
      </w:r>
    </w:p>
    <w:p>
      <w:pPr>
        <w:pStyle w:val="Compact"/>
        <w:numPr>
          <w:ilvl w:val="0"/>
          <w:numId w:val="1010"/>
        </w:numPr>
      </w:pPr>
      <w:r>
        <w:t xml:space="preserve">Medical-Surgical financing, Apollo investment and repurchases on schedule.</w:t>
      </w:r>
    </w:p>
    <w:bookmarkEnd w:id="25"/>
    <w:bookmarkStart w:id="26" w:name="mixed-but-acceptable"/>
    <w:p>
      <w:pPr>
        <w:pStyle w:val="Heading3"/>
      </w:pPr>
      <w:r>
        <w:t xml:space="preserve">Mixed but acceptable</w:t>
      </w:r>
    </w:p>
    <w:p>
      <w:pPr>
        <w:pStyle w:val="Compact"/>
        <w:numPr>
          <w:ilvl w:val="0"/>
          <w:numId w:val="1011"/>
        </w:numPr>
      </w:pPr>
      <w:r>
        <w:t xml:space="preserve">Revenue misses because of branded-drug deflation;</w:t>
      </w:r>
    </w:p>
    <w:p>
      <w:pPr>
        <w:pStyle w:val="Compact"/>
        <w:numPr>
          <w:ilvl w:val="0"/>
          <w:numId w:val="1011"/>
        </w:numPr>
      </w:pPr>
      <w:r>
        <w:t xml:space="preserve">EPS modestly beats;</w:t>
      </w:r>
    </w:p>
    <w:p>
      <w:pPr>
        <w:pStyle w:val="Compact"/>
        <w:numPr>
          <w:ilvl w:val="0"/>
          <w:numId w:val="1011"/>
        </w:numPr>
      </w:pPr>
      <w:r>
        <w:t xml:space="preserve">Full-year guidance is reiterated;</w:t>
      </w:r>
    </w:p>
    <w:p>
      <w:pPr>
        <w:pStyle w:val="Compact"/>
        <w:numPr>
          <w:ilvl w:val="0"/>
          <w:numId w:val="1011"/>
        </w:numPr>
      </w:pPr>
      <w:r>
        <w:t xml:space="preserve">Segment operating-profit trends remain intact;</w:t>
      </w:r>
    </w:p>
    <w:p>
      <w:pPr>
        <w:pStyle w:val="Compact"/>
        <w:numPr>
          <w:ilvl w:val="0"/>
          <w:numId w:val="1011"/>
        </w:numPr>
      </w:pPr>
      <w:r>
        <w:t xml:space="preserve">Q1 free cash flow is negative due to normal working-capital seasonality.</w:t>
      </w:r>
    </w:p>
    <w:bookmarkEnd w:id="26"/>
    <w:bookmarkStart w:id="27" w:name="bearish"/>
    <w:p>
      <w:pPr>
        <w:pStyle w:val="Heading3"/>
      </w:pPr>
      <w:r>
        <w:t xml:space="preserve">Bearish</w:t>
      </w:r>
    </w:p>
    <w:p>
      <w:pPr>
        <w:pStyle w:val="Compact"/>
        <w:numPr>
          <w:ilvl w:val="0"/>
          <w:numId w:val="1012"/>
        </w:numPr>
      </w:pPr>
      <w:r>
        <w:t xml:space="preserve">GLP-1 or specialty-volume softness begins affecting operating profit;</w:t>
      </w:r>
    </w:p>
    <w:p>
      <w:pPr>
        <w:pStyle w:val="Compact"/>
        <w:numPr>
          <w:ilvl w:val="0"/>
          <w:numId w:val="1012"/>
        </w:numPr>
      </w:pPr>
      <w:r>
        <w:t xml:space="preserve">Oncology growth depends heavily on acquisitions and organic growth falls below expectations;</w:t>
      </w:r>
    </w:p>
    <w:p>
      <w:pPr>
        <w:pStyle w:val="Compact"/>
        <w:numPr>
          <w:ilvl w:val="0"/>
          <w:numId w:val="1012"/>
        </w:numPr>
      </w:pPr>
      <w:r>
        <w:t xml:space="preserve">Prescription Technology access-solutions demand slows;</w:t>
      </w:r>
    </w:p>
    <w:p>
      <w:pPr>
        <w:pStyle w:val="Compact"/>
        <w:numPr>
          <w:ilvl w:val="0"/>
          <w:numId w:val="1012"/>
        </w:numPr>
      </w:pPr>
      <w:r>
        <w:t xml:space="preserve">Medical-Surgical transactions are delayed;</w:t>
      </w:r>
    </w:p>
    <w:p>
      <w:pPr>
        <w:pStyle w:val="Compact"/>
        <w:numPr>
          <w:ilvl w:val="0"/>
          <w:numId w:val="1012"/>
        </w:numPr>
      </w:pPr>
      <w:r>
        <w:t xml:space="preserve">Free-cash-flow or repurchase guidance is reduced;</w:t>
      </w:r>
    </w:p>
    <w:p>
      <w:pPr>
        <w:pStyle w:val="Compact"/>
        <w:numPr>
          <w:ilvl w:val="0"/>
          <w:numId w:val="1012"/>
        </w:numPr>
      </w:pPr>
      <w:r>
        <w:t xml:space="preserve">EPS guidance is maintained only through tax benefits or a lower share count despite weaker operations.</w:t>
      </w:r>
    </w:p>
    <w:bookmarkEnd w:id="27"/>
    <w:bookmarkEnd w:id="28"/>
    <w:bookmarkStart w:id="29" w:name="bottom-line"/>
    <w:p>
      <w:pPr>
        <w:pStyle w:val="Heading2"/>
      </w:pPr>
      <w:r>
        <w:t xml:space="preserve">Bottom line</w:t>
      </w:r>
    </w:p>
    <w:p>
      <w:pPr>
        <w:pStyle w:val="FirstParagraph"/>
      </w:pPr>
      <w:r>
        <w:t xml:space="preserve">McKesson enters the report with a strong operating record and a credible path to low-to-mid-teens EPS growth. The principal attractions remain specialty distribution, community oncology, biopharma access services and aggressive capital return.</w:t>
      </w:r>
    </w:p>
    <w:p>
      <w:pPr>
        <w:pStyle w:val="BodyText"/>
      </w:pPr>
      <w:r>
        <w:t xml:space="preserve">The main risk is that the stock is now valued on the assumption that these businesses can continue producing</w:t>
      </w:r>
      <w:r>
        <w:t xml:space="preserve"> </w:t>
      </w:r>
      <w:r>
        <w:rPr>
          <w:b/>
          <w:bCs/>
        </w:rPr>
        <w:t xml:space="preserve">double-digit profit growth despite drug-price deflation, policy changes and separation-related costs</w:t>
      </w:r>
      <w:r>
        <w:t xml:space="preserve">. A headline EPS beat should be achievable, but the stock’s reaction is likely to depend on whether management demonstrates:</w:t>
      </w:r>
    </w:p>
    <w:p>
      <w:pPr>
        <w:pStyle w:val="Compact"/>
        <w:numPr>
          <w:ilvl w:val="0"/>
          <w:numId w:val="1013"/>
        </w:numPr>
      </w:pPr>
      <w:r>
        <w:t xml:space="preserve">resilient North American Pharmaceutical profit;</w:t>
      </w:r>
    </w:p>
    <w:p>
      <w:pPr>
        <w:pStyle w:val="Compact"/>
        <w:numPr>
          <w:ilvl w:val="0"/>
          <w:numId w:val="1013"/>
        </w:numPr>
      </w:pPr>
      <w:r>
        <w:t xml:space="preserve">approximately low-teens organic oncology growth;</w:t>
      </w:r>
    </w:p>
    <w:p>
      <w:pPr>
        <w:pStyle w:val="Compact"/>
        <w:numPr>
          <w:ilvl w:val="0"/>
          <w:numId w:val="1013"/>
        </w:numPr>
      </w:pPr>
      <w:r>
        <w:t xml:space="preserve">double-digit Prescription Technology profit growth; and</w:t>
      </w:r>
    </w:p>
    <w:p>
      <w:pPr>
        <w:pStyle w:val="Compact"/>
        <w:numPr>
          <w:ilvl w:val="0"/>
          <w:numId w:val="1013"/>
        </w:numPr>
      </w:pPr>
      <w:r>
        <w:t xml:space="preserve">a clean path to the</w:t>
      </w:r>
      <w:r>
        <w:t xml:space="preserve"> </w:t>
      </w:r>
      <m:oMath>
        <m:r>
          <m:t>43.80</m:t>
        </m:r>
        <m:r>
          <m:rPr>
            <m:sty m:val="p"/>
          </m:rPr>
          <m:t>–</m:t>
        </m:r>
      </m:oMath>
      <w:r>
        <w:t xml:space="preserve">44.60 full-year range—or better.</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s24.q4cdn.com/128197368/files/doc_financials/2026/q4/260507-MCK-Q4FY26-Earnings-Call-Transcript.pdf" TargetMode="External" /><Relationship Type="http://schemas.openxmlformats.org/officeDocument/2006/relationships/hyperlink" Id="rId10" Target="https://www.marketbeat.com/earnings/reports/2026-8-5-mckesson-co-stock/?utm_source=openai" TargetMode="External" /><Relationship Type="http://schemas.openxmlformats.org/officeDocument/2006/relationships/hyperlink" Id="rId20" Target="https://www.mckesson.com/about-us/newsroom/press-releases/2025/mckesson-corporation-reports-fiscal-2026-first-quarter-results/?utm_source=openai" TargetMode="External" /><Relationship Type="http://schemas.openxmlformats.org/officeDocument/2006/relationships/hyperlink" Id="rId22" Target="https://www.mckesson.com/about-us/newsroom/press-releases/2026/mckesson-announces-planned-cfo-transition/?utm_source=openai" TargetMode="External" /><Relationship Type="http://schemas.openxmlformats.org/officeDocument/2006/relationships/hyperlink" Id="rId9" Target="https://www.mckesson.com/about-us/newsroom/press-releases/2026/mckesson-corporation-announces-first-quarter-fiscal-2027-earnings-release-date/?utm_source=openai" TargetMode="External" /></Relationships>
</file>

<file path=word/_rels/footnotes.xml.rels><?xml version="1.0" encoding="UTF-8"?><Relationships xmlns="http://schemas.openxmlformats.org/package/2006/relationships"><Relationship Type="http://schemas.openxmlformats.org/officeDocument/2006/relationships/hyperlink" Id="rId13" Target="https://s24.q4cdn.com/128197368/files/doc_financials/2026/q4/260507-MCK-Q4FY26-Earnings-Call-Transcript.pdf" TargetMode="External" /><Relationship Type="http://schemas.openxmlformats.org/officeDocument/2006/relationships/hyperlink" Id="rId10" Target="https://www.marketbeat.com/earnings/reports/2026-8-5-mckesson-co-stock/?utm_source=openai" TargetMode="External" /><Relationship Type="http://schemas.openxmlformats.org/officeDocument/2006/relationships/hyperlink" Id="rId20" Target="https://www.mckesson.com/about-us/newsroom/press-releases/2025/mckesson-corporation-reports-fiscal-2026-first-quarter-results/?utm_source=openai" TargetMode="External" /><Relationship Type="http://schemas.openxmlformats.org/officeDocument/2006/relationships/hyperlink" Id="rId22" Target="https://www.mckesson.com/about-us/newsroom/press-releases/2026/mckesson-announces-planned-cfo-transition/?utm_source=openai" TargetMode="External" /><Relationship Type="http://schemas.openxmlformats.org/officeDocument/2006/relationships/hyperlink" Id="rId9" Target="https://www.mckesson.com/about-us/newsroom/press-releases/2026/mckesson-corporation-announces-first-quarter-fiscal-2027-earnings-release-date/?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2026-08-05T00:53:54Z</dcterms:created>
  <dcterms:modified xsi:type="dcterms:W3CDTF">2026-08-05T00:53:54Z</dcterms:modified>
</cp:coreProperties>
</file>

<file path=docProps/custom.xml><?xml version="1.0" encoding="utf-8"?>
<Properties xmlns="http://schemas.openxmlformats.org/officeDocument/2006/custom-properties" xmlns:vt="http://schemas.openxmlformats.org/officeDocument/2006/docPropsVTypes"/>
</file>