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7d7a93a3467850b41e3ec9e42c2641a66325ec6"/>
    <w:p>
      <w:pPr>
        <w:pStyle w:val="Heading1"/>
      </w:pPr>
      <w:r>
        <w:t xml:space="preserve">McKesson (NYSE: MCK) — Fiscal 2027 Q1 Earnings Preview</w:t>
      </w:r>
    </w:p>
    <w:p>
      <w:pPr>
        <w:pStyle w:val="BlockText"/>
      </w:pPr>
      <w:r>
        <w:rPr>
          <w:b/>
          <w:bCs/>
        </w:rPr>
        <w:t xml:space="preserve">Timing note:</w:t>
      </w:r>
      <w:r>
        <w:t xml:space="preserve"> </w:t>
      </w:r>
      <w:r>
        <w:t xml:space="preserve">McKesson is scheduled to report</w:t>
      </w:r>
      <w:r>
        <w:t xml:space="preserve"> </w:t>
      </w:r>
      <w:r>
        <w:rPr>
          <w:b/>
          <w:bCs/>
        </w:rPr>
        <w:t xml:space="preserve">after the close today, Wednesday, August 5, 2026</w:t>
      </w:r>
      <w:r>
        <w:t xml:space="preserve">, with its earnings call at</w:t>
      </w:r>
      <w:r>
        <w:t xml:space="preserve"> </w:t>
      </w:r>
      <w:r>
        <w:rPr>
          <w:b/>
          <w:bCs/>
        </w:rPr>
        <w:t xml:space="preserve">4:30 p.m. ET</w:t>
      </w:r>
      <w:r>
        <w:t xml:space="preserve">. This is therefore a same-day preview, not a preview for tomorrow. The report covers the quarter ended</w:t>
      </w:r>
      <w:r>
        <w:t xml:space="preserve"> </w:t>
      </w:r>
      <w:r>
        <w:rPr>
          <w:b/>
          <w:bCs/>
        </w:rPr>
        <w:t xml:space="preserve">June 30, 2026</w:t>
      </w:r>
      <w:r>
        <w:t xml:space="preserve">.</w:t>
      </w:r>
    </w:p>
    <w:bookmarkStart w:id="9" w:name="X16ab5d5d40148f4352b55e95605483b8eef9f87"/>
    <w:p>
      <w:pPr>
        <w:pStyle w:val="Heading2"/>
      </w:pPr>
      <w:r>
        <w:t xml:space="preserve">Investment view: the quarter is about validating a demanding FY27 setup</w:t>
      </w:r>
    </w:p>
    <w:p>
      <w:pPr>
        <w:pStyle w:val="FirstParagraph"/>
      </w:pPr>
      <w:r>
        <w:t xml:space="preserve">McKesson enters fiscal 2027 with real operating momentum: specialty distribution, oncology/multispecialty services, biopharma access solutions, and an unusually large buyback program should support double-digit adjusted EPS growth. The central question is not whether MCK can grow, but whether its first-quarter results and commentary validate the</w:t>
      </w:r>
      <w:r>
        <w:t xml:space="preserve"> </w:t>
      </w:r>
      <m:oMath>
        <m:r>
          <m:t>43.80</m:t>
        </m:r>
        <m:r>
          <m:rPr>
            <m:sty m:val="p"/>
          </m:rPr>
          <m:t>–</m:t>
        </m:r>
      </m:oMath>
      <w:r>
        <w:rPr>
          <w:b/>
          <w:bCs/>
        </w:rPr>
        <w:t xml:space="preserve">44.60</w:t>
      </w:r>
      <w:r>
        <w:t xml:space="preserve"> </w:t>
      </w:r>
      <w:r>
        <w:t xml:space="preserve">fiscal-year adjusted EPS framework—especially given a stock that closed at</w:t>
      </w:r>
      <w:r>
        <w:t xml:space="preserve"> </w:t>
      </w:r>
      <w:r>
        <w:rPr>
          <w:b/>
          <w:bCs/>
        </w:rPr>
        <w:t xml:space="preserve">$830.47 on August 4</w:t>
      </w:r>
      <w:r>
        <w:t xml:space="preserve">, roughly</w:t>
      </w:r>
      <w:r>
        <w:t xml:space="preserve"> </w:t>
      </w:r>
      <w:r>
        <w:rPr>
          <w:b/>
          <w:bCs/>
        </w:rPr>
        <w:t xml:space="preserve">10% above</w:t>
      </w:r>
      <w:r>
        <w:t xml:space="preserve"> </w:t>
      </w:r>
      <w:r>
        <w:t xml:space="preserve">its May 7 close and only about</w:t>
      </w:r>
      <w:r>
        <w:t xml:space="preserve"> </w:t>
      </w:r>
      <w:r>
        <w:rPr>
          <w:b/>
          <w:bCs/>
        </w:rPr>
        <w:t xml:space="preserve">6.6% below</w:t>
      </w:r>
      <w:r>
        <w:t xml:space="preserve"> </w:t>
      </w:r>
      <w:r>
        <w:t xml:space="preserve">its July 28 high.</w:t>
      </w:r>
    </w:p>
    <w:p>
      <w:pPr>
        <w:pStyle w:val="BodyText"/>
      </w:pPr>
      <w:r>
        <w:t xml:space="preserve">My base case is that MCK should deliver a solid operating quarter, but the stock reaction will depend more on:</w:t>
      </w:r>
    </w:p>
    <w:p>
      <w:pPr>
        <w:pStyle w:val="Compact"/>
        <w:numPr>
          <w:ilvl w:val="0"/>
          <w:numId w:val="1001"/>
        </w:numPr>
      </w:pPr>
      <w:r>
        <w:t xml:space="preserve">confidence in full-year guidance,</w:t>
      </w:r>
    </w:p>
    <w:p>
      <w:pPr>
        <w:pStyle w:val="Compact"/>
        <w:numPr>
          <w:ilvl w:val="0"/>
          <w:numId w:val="1001"/>
        </w:numPr>
      </w:pPr>
      <w:r>
        <w:t xml:space="preserve">the pace of North American Pharmaceutical profit growth amid branded-price pressure and GLP-1 variability, and</w:t>
      </w:r>
    </w:p>
    <w:p>
      <w:pPr>
        <w:pStyle w:val="Compact"/>
        <w:numPr>
          <w:ilvl w:val="0"/>
          <w:numId w:val="1001"/>
        </w:numPr>
      </w:pPr>
      <w:r>
        <w:t xml:space="preserve">tangible progress on the Medical-Surgical separation and associated capital return.</w:t>
      </w:r>
    </w:p>
    <w:bookmarkEnd w:id="9"/>
    <w:bookmarkStart w:id="15" w:name="what-matters-most-this-quarter"/>
    <w:p>
      <w:pPr>
        <w:pStyle w:val="Heading2"/>
      </w:pPr>
      <w:r>
        <w:t xml:space="preserve">What matters most this quarter</w:t>
      </w:r>
    </w:p>
    <w:bookmarkStart w:id="10" w:name="X8e1a7d2652c4cb1f5d82c8c0b5159d11807bcc0"/>
    <w:p>
      <w:pPr>
        <w:pStyle w:val="Heading3"/>
      </w:pPr>
      <w:r>
        <w:t xml:space="preserve">1. Hold—or raise—the FY27 adjusted EPS guide</w:t>
      </w:r>
    </w:p>
    <w:p>
      <w:pPr>
        <w:pStyle w:val="FirstParagraph"/>
      </w:pPr>
      <w:r>
        <w:t xml:space="preserve">At its May fiscal-year-end report, MCK initiated FY27 adjusted EPS guidance of</w:t>
      </w:r>
      <w:r>
        <w:t xml:space="preserve"> </w:t>
      </w:r>
      <m:oMath>
        <m:r>
          <m:t>43.80</m:t>
        </m:r>
        <m:r>
          <m:rPr>
            <m:sty m:val="p"/>
          </m:rPr>
          <m:t>–</m:t>
        </m:r>
      </m:oMath>
      <w:r>
        <w:rPr>
          <w:b/>
          <w:bCs/>
        </w:rPr>
        <w:t xml:space="preserve">44.60</w:t>
      </w:r>
      <w:r>
        <w:t xml:space="preserve">, representing approximately</w:t>
      </w:r>
      <w:r>
        <w:t xml:space="preserve"> </w:t>
      </w:r>
      <w:r>
        <w:rPr>
          <w:b/>
          <w:bCs/>
        </w:rPr>
        <w:t xml:space="preserve">12%–14% growth</w:t>
      </w:r>
      <w:r>
        <w:t xml:space="preserve"> </w:t>
      </w:r>
      <w:r>
        <w:t xml:space="preserve">from FY26 adjusted EPS of</w:t>
      </w:r>
      <w:r>
        <w:t xml:space="preserve"> </w:t>
      </w:r>
      <w:r>
        <w:rPr>
          <w:b/>
          <w:bCs/>
        </w:rPr>
        <w:t xml:space="preserve">$39.11</w:t>
      </w:r>
      <w:r>
        <w:t xml:space="preserve">. The company characterized the implied underlying growth as</w:t>
      </w:r>
      <w:r>
        <w:t xml:space="preserve"> </w:t>
      </w:r>
      <w:r>
        <w:rPr>
          <w:b/>
          <w:bCs/>
        </w:rPr>
        <w:t xml:space="preserve">14%–16%</w:t>
      </w:r>
      <w:r>
        <w:t xml:space="preserve"> </w:t>
      </w:r>
      <w:r>
        <w:t xml:space="preserve">when excluding prior-year Norway earnings and a gain on an Oncology &amp; Multispecialty investment sale.</w:t>
      </w:r>
    </w:p>
    <w:p>
      <w:pPr>
        <w:pStyle w:val="BodyText"/>
      </w:pPr>
      <w:r>
        <w:t xml:space="preserve">This will be the principal read-through:</w:t>
      </w:r>
    </w:p>
    <w:p>
      <w:pPr>
        <w:pStyle w:val="Compact"/>
        <w:numPr>
          <w:ilvl w:val="0"/>
          <w:numId w:val="1002"/>
        </w:numPr>
      </w:pPr>
      <w:r>
        <w:rPr>
          <w:b/>
          <w:bCs/>
        </w:rPr>
        <w:t xml:space="preserve">Bullish:</w:t>
      </w:r>
      <w:r>
        <w:t xml:space="preserve"> </w:t>
      </w:r>
      <w:r>
        <w:t xml:space="preserve">Guidance is reaffirmed with language indicating a favorable start to the year, stronger buyback contribution, or better-than-expected specialty/access-solution momentum.</w:t>
      </w:r>
    </w:p>
    <w:p>
      <w:pPr>
        <w:pStyle w:val="Compact"/>
        <w:numPr>
          <w:ilvl w:val="0"/>
          <w:numId w:val="1002"/>
        </w:numPr>
      </w:pPr>
      <w:r>
        <w:rPr>
          <w:b/>
          <w:bCs/>
        </w:rPr>
        <w:t xml:space="preserve">Neutral:</w:t>
      </w:r>
      <w:r>
        <w:t xml:space="preserve"> </w:t>
      </w:r>
      <w:r>
        <w:t xml:space="preserve">Guidance is maintained but management stresses normal quarterly variability, particularly in GLP-1s, 3PL revenues, tax items, or working capital.</w:t>
      </w:r>
    </w:p>
    <w:p>
      <w:pPr>
        <w:pStyle w:val="Compact"/>
        <w:numPr>
          <w:ilvl w:val="0"/>
          <w:numId w:val="1002"/>
        </w:numPr>
      </w:pPr>
      <w:r>
        <w:rPr>
          <w:b/>
          <w:bCs/>
        </w:rPr>
        <w:t xml:space="preserve">Bearish:</w:t>
      </w:r>
      <w:r>
        <w:t xml:space="preserve"> </w:t>
      </w:r>
      <w:r>
        <w:t xml:space="preserve">A reduction, or materially more guarded commentary around branded pricing, distribution economics, biosimilar/IRA effects, or separation costs.</w:t>
      </w:r>
    </w:p>
    <w:p>
      <w:pPr>
        <w:pStyle w:val="FirstParagraph"/>
      </w:pPr>
      <w:r>
        <w:t xml:space="preserve">At the August 4 closing price, the midpoint of FY27 guidance implies roughly</w:t>
      </w:r>
      <w:r>
        <w:t xml:space="preserve"> </w:t>
      </w:r>
      <w:r>
        <w:rPr>
          <w:b/>
          <w:bCs/>
        </w:rPr>
        <w:t xml:space="preserve">18.8x adjusted EPS</w:t>
      </w:r>
      <w:r>
        <w:t xml:space="preserve">. That valuation leaves less room for a merely adequate quarter; investors likely need confirmation that earnings can land toward the middle-to-upper portion of the guide.</w:t>
      </w:r>
    </w:p>
    <w:bookmarkEnd w:id="10"/>
    <w:bookmarkStart w:id="11" w:name="X1b9df36d5dd80fd932d0196314e2adefd4f4e87"/>
    <w:p>
      <w:pPr>
        <w:pStyle w:val="Heading3"/>
      </w:pPr>
      <w:r>
        <w:t xml:space="preserve">2. North American Pharmaceutical: focus on profit, not headline revenue</w:t>
      </w:r>
    </w:p>
    <w:p>
      <w:pPr>
        <w:pStyle w:val="FirstParagraph"/>
      </w:pPr>
      <w:r>
        <w:t xml:space="preserve">North American Pharmaceutical remains the core earnings engine. For FY27, management guided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FY27 outlook</w:t>
            </w:r>
          </w:p>
        </w:tc>
        <w:tc>
          <w:tcPr/>
          <w:p>
            <w:pPr>
              <w:pStyle w:val="Compact"/>
              <w:jc w:val="right"/>
            </w:pPr>
            <w:r>
              <w:t xml:space="preserve">Revenue growth</w:t>
            </w:r>
          </w:p>
        </w:tc>
        <w:tc>
          <w:tcPr/>
          <w:p>
            <w:pPr>
              <w:pStyle w:val="Compact"/>
              <w:jc w:val="right"/>
            </w:pPr>
            <w:r>
              <w:t xml:space="preserve">Adjusted operating-profit growth</w:t>
            </w:r>
          </w:p>
        </w:tc>
      </w:tr>
      <w:tr>
        <w:tc>
          <w:tcPr/>
          <w:p>
            <w:pPr>
              <w:pStyle w:val="Compact"/>
            </w:pPr>
            <w:r>
              <w:t xml:space="preserve">North American Pharmaceutical</w:t>
            </w:r>
          </w:p>
        </w:tc>
        <w:tc>
          <w:tcPr/>
          <w:p>
            <w:pPr>
              <w:pStyle w:val="Compact"/>
              <w:jc w:val="right"/>
            </w:pPr>
            <w:r>
              <w:t xml:space="preserve">4%–8%</w:t>
            </w:r>
          </w:p>
        </w:tc>
        <w:tc>
          <w:tcPr/>
          <w:p>
            <w:pPr>
              <w:pStyle w:val="Compact"/>
              <w:jc w:val="right"/>
            </w:pPr>
            <w:r>
              <w:t xml:space="preserve">5.5%–9.5%</w:t>
            </w:r>
          </w:p>
        </w:tc>
      </w:tr>
    </w:tbl>
    <w:p>
      <w:pPr>
        <w:pStyle w:val="BodyText"/>
      </w:pPr>
      <w:r>
        <w:t xml:space="preserve">The revenue outlook is deliberately more restrained than the underlying business momentum because McKesson is lapping a large customer onboarding, Rite Aid-related revenue, and branded-drug manufacturer price reductions. In fiscal Q4, branded-price changes reduced North American Pharmaceutical revenue growth by roughly</w:t>
      </w:r>
      <w:r>
        <w:t xml:space="preserve"> </w:t>
      </w:r>
      <w:r>
        <w:rPr>
          <w:b/>
          <w:bCs/>
        </w:rPr>
        <w:t xml:space="preserve">3 percentage points</w:t>
      </w:r>
      <w:r>
        <w:t xml:space="preserve">, while management said the impact did</w:t>
      </w:r>
      <w:r>
        <w:t xml:space="preserve"> </w:t>
      </w:r>
      <w:r>
        <w:rPr>
          <w:b/>
          <w:bCs/>
        </w:rPr>
        <w:t xml:space="preserve">not</w:t>
      </w:r>
      <w:r>
        <w:t xml:space="preserve"> </w:t>
      </w:r>
      <w:r>
        <w:t xml:space="preserve">affect operating profit.</w:t>
      </w:r>
    </w:p>
    <w:p>
      <w:pPr>
        <w:pStyle w:val="BodyText"/>
      </w:pPr>
      <w:r>
        <w:rPr>
          <w:b/>
          <w:bCs/>
        </w:rPr>
        <w:t xml:space="preserve">What to watch:</w:t>
      </w:r>
    </w:p>
    <w:p>
      <w:pPr>
        <w:pStyle w:val="Compact"/>
        <w:numPr>
          <w:ilvl w:val="0"/>
          <w:numId w:val="1003"/>
        </w:numPr>
      </w:pPr>
      <w:r>
        <w:t xml:space="preserve">Prescription/utilization trends, which management has described as stable.</w:t>
      </w:r>
    </w:p>
    <w:p>
      <w:pPr>
        <w:pStyle w:val="Compact"/>
        <w:numPr>
          <w:ilvl w:val="0"/>
          <w:numId w:val="1003"/>
        </w:numPr>
      </w:pPr>
      <w:r>
        <w:t xml:space="preserve">Specialty distribution growth, particularly into health systems.</w:t>
      </w:r>
    </w:p>
    <w:p>
      <w:pPr>
        <w:pStyle w:val="Compact"/>
        <w:numPr>
          <w:ilvl w:val="0"/>
          <w:numId w:val="1003"/>
        </w:numPr>
      </w:pPr>
      <w:r>
        <w:t xml:space="preserve">Branded-drug price declines and their impact on reported revenue versus gross profit/operating profit.</w:t>
      </w:r>
    </w:p>
    <w:p>
      <w:pPr>
        <w:pStyle w:val="Compact"/>
        <w:numPr>
          <w:ilvl w:val="0"/>
          <w:numId w:val="1003"/>
        </w:numPr>
      </w:pPr>
      <w:r>
        <w:t xml:space="preserve">GLP-1 distribution trends. Fiscal Q4 GLP-1 revenue was</w:t>
      </w:r>
      <w:r>
        <w:t xml:space="preserve"> </w:t>
      </w:r>
      <w:r>
        <w:rPr>
          <w:b/>
          <w:bCs/>
        </w:rPr>
        <w:t xml:space="preserve">$14 billion</w:t>
      </w:r>
      <w:r>
        <w:t xml:space="preserve">, up 22% year over year but down 4% sequentially. Management has emphasized that the category remains a growth driver but can be volatile quarter to quarter.</w:t>
      </w:r>
    </w:p>
    <w:p>
      <w:pPr>
        <w:pStyle w:val="Compact"/>
        <w:numPr>
          <w:ilvl w:val="0"/>
          <w:numId w:val="1003"/>
        </w:numPr>
      </w:pPr>
      <w:r>
        <w:t xml:space="preserve">Operating-margin progression. For this segment, profit growth above revenue growth is the more important indicator of execution and efficiency.</w:t>
      </w:r>
    </w:p>
    <w:p>
      <w:pPr>
        <w:pStyle w:val="FirstParagraph"/>
      </w:pPr>
      <w:r>
        <w:t xml:space="preserve">The key investor takeaway: a revenue “miss” driven by price or customer-lapping effects should be less concerning if segment operating profit remains on track. Conversely, weak profit growth would challenge the premise that specialty mix and automation can offset those revenue headwinds.</w:t>
      </w:r>
    </w:p>
    <w:bookmarkEnd w:id="11"/>
    <w:bookmarkStart w:id="12" w:name="X39167d32dd019dcb4ea4d213831c6c12d99a17f"/>
    <w:p>
      <w:pPr>
        <w:pStyle w:val="Heading3"/>
      </w:pPr>
      <w:r>
        <w:t xml:space="preserve">3. Oncology &amp; Multispecialty: the clearest structural growth driver</w:t>
      </w:r>
    </w:p>
    <w:p>
      <w:pPr>
        <w:pStyle w:val="FirstParagraph"/>
      </w:pPr>
      <w:r>
        <w:t xml:space="preserve">This is MCK’s highest-priority growth platform. FY27 guidance calls for: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FY27 outlook</w:t>
            </w:r>
          </w:p>
        </w:tc>
        <w:tc>
          <w:tcPr/>
          <w:p>
            <w:pPr>
              <w:pStyle w:val="Compact"/>
              <w:jc w:val="right"/>
            </w:pPr>
            <w:r>
              <w:t xml:space="preserve">Revenue growth</w:t>
            </w:r>
          </w:p>
        </w:tc>
        <w:tc>
          <w:tcPr/>
          <w:p>
            <w:pPr>
              <w:pStyle w:val="Compact"/>
              <w:jc w:val="right"/>
            </w:pPr>
            <w:r>
              <w:t xml:space="preserve">Adjusted operating-profit growth</w:t>
            </w:r>
          </w:p>
        </w:tc>
      </w:tr>
      <w:tr>
        <w:tc>
          <w:tcPr/>
          <w:p>
            <w:pPr>
              <w:pStyle w:val="Compact"/>
            </w:pPr>
            <w:r>
              <w:t xml:space="preserve">Oncology &amp; Multispecialty</w:t>
            </w:r>
          </w:p>
        </w:tc>
        <w:tc>
          <w:tcPr/>
          <w:p>
            <w:pPr>
              <w:pStyle w:val="Compact"/>
              <w:jc w:val="right"/>
            </w:pPr>
            <w:r>
              <w:t xml:space="preserve">14.5%–18.5%</w:t>
            </w:r>
          </w:p>
        </w:tc>
        <w:tc>
          <w:tcPr/>
          <w:p>
            <w:pPr>
              <w:pStyle w:val="Compact"/>
              <w:jc w:val="right"/>
            </w:pPr>
            <w:r>
              <w:t xml:space="preserve">13.5%–17.5%</w:t>
            </w:r>
          </w:p>
        </w:tc>
      </w:tr>
    </w:tbl>
    <w:p>
      <w:pPr>
        <w:pStyle w:val="BodyText"/>
      </w:pPr>
      <w:r>
        <w:t xml:space="preserve">The segment delivered</w:t>
      </w:r>
      <w:r>
        <w:t xml:space="preserve"> </w:t>
      </w:r>
      <w:r>
        <w:rPr>
          <w:b/>
          <w:bCs/>
        </w:rPr>
        <w:t xml:space="preserve">35% revenue growth</w:t>
      </w:r>
      <w:r>
        <w:t xml:space="preserve"> </w:t>
      </w:r>
      <w:r>
        <w:t xml:space="preserve">and</w:t>
      </w:r>
      <w:r>
        <w:t xml:space="preserve"> </w:t>
      </w:r>
      <w:r>
        <w:rPr>
          <w:b/>
          <w:bCs/>
        </w:rPr>
        <w:t xml:space="preserve">53% adjusted operating-profit growth</w:t>
      </w:r>
      <w:r>
        <w:t xml:space="preserve"> </w:t>
      </w:r>
      <w:r>
        <w:t xml:space="preserve">in fiscal Q4, aided by contributions from PRISM Vision and Core Ventures. Excluding acquisitions, management said organic operating-profit growth was about</w:t>
      </w:r>
      <w:r>
        <w:t xml:space="preserve"> </w:t>
      </w:r>
      <w:r>
        <w:rPr>
          <w:b/>
          <w:bCs/>
        </w:rPr>
        <w:t xml:space="preserve">13%</w:t>
      </w:r>
      <w:r>
        <w:t xml:space="preserve">.</w:t>
      </w:r>
    </w:p>
    <w:p>
      <w:pPr>
        <w:pStyle w:val="BodyText"/>
      </w:pPr>
      <w:r>
        <w:t xml:space="preserve">For Q1, investors should focus on whether growth remains broad-based after the acquisition anniversary:</w:t>
      </w:r>
    </w:p>
    <w:p>
      <w:pPr>
        <w:pStyle w:val="Compact"/>
        <w:numPr>
          <w:ilvl w:val="0"/>
          <w:numId w:val="1004"/>
        </w:numPr>
      </w:pPr>
      <w:r>
        <w:t xml:space="preserve">Expansion of The US Oncology Network’s provider base;</w:t>
      </w:r>
    </w:p>
    <w:p>
      <w:pPr>
        <w:pStyle w:val="Compact"/>
        <w:numPr>
          <w:ilvl w:val="0"/>
          <w:numId w:val="1004"/>
        </w:numPr>
      </w:pPr>
      <w:r>
        <w:t xml:space="preserve">Continued onboarding and integration of Core Ventures/Florida Cancer Specialists;</w:t>
      </w:r>
    </w:p>
    <w:p>
      <w:pPr>
        <w:pStyle w:val="Compact"/>
        <w:numPr>
          <w:ilvl w:val="0"/>
          <w:numId w:val="1004"/>
        </w:numPr>
      </w:pPr>
      <w:r>
        <w:t xml:space="preserve">PRISM Vision provider and practice growth;</w:t>
      </w:r>
    </w:p>
    <w:p>
      <w:pPr>
        <w:pStyle w:val="Compact"/>
        <w:numPr>
          <w:ilvl w:val="0"/>
          <w:numId w:val="1004"/>
        </w:numPr>
      </w:pPr>
      <w:r>
        <w:t xml:space="preserve">Specialty distribution volumes into community settings;</w:t>
      </w:r>
    </w:p>
    <w:p>
      <w:pPr>
        <w:pStyle w:val="Compact"/>
        <w:numPr>
          <w:ilvl w:val="0"/>
          <w:numId w:val="1004"/>
        </w:numPr>
      </w:pPr>
      <w:r>
        <w:t xml:space="preserve">The durability of provider-services economics as biosimilar adoption and reimbursement dynamics evolve.</w:t>
      </w:r>
    </w:p>
    <w:p>
      <w:pPr>
        <w:pStyle w:val="FirstParagraph"/>
      </w:pPr>
      <w:r>
        <w:t xml:space="preserve">The risk is not a sudden demand collapse; it is that organic growth moderates faster than expected as acquisition comparisons become less favorable. A clean quarter with maintained mid-teens segment expectations would reinforce the segment’s role as MCK’s multi-year profit-growth engine.</w:t>
      </w:r>
    </w:p>
    <w:bookmarkEnd w:id="12"/>
    <w:bookmarkStart w:id="13" w:name="X7ca3dc6c873d76183c9a0e9e88c00131603e701"/>
    <w:p>
      <w:pPr>
        <w:pStyle w:val="Heading3"/>
      </w:pPr>
      <w:r>
        <w:t xml:space="preserve">4. Prescription Technology Solutions: earnings quality should outrun revenue</w:t>
      </w:r>
    </w:p>
    <w:p>
      <w:pPr>
        <w:pStyle w:val="FirstParagraph"/>
      </w:pPr>
      <w:r>
        <w:t xml:space="preserve">FY27 guidance for Prescription Technology Solutions is</w:t>
      </w:r>
      <w:r>
        <w:t xml:space="preserve"> </w:t>
      </w:r>
      <w:r>
        <w:rPr>
          <w:b/>
          <w:bCs/>
        </w:rPr>
        <w:t xml:space="preserve">2.5%–6.5% revenue growth</w:t>
      </w:r>
      <w:r>
        <w:t xml:space="preserve"> </w:t>
      </w:r>
      <w:r>
        <w:t xml:space="preserve">but</w:t>
      </w:r>
      <w:r>
        <w:t xml:space="preserve"> </w:t>
      </w:r>
      <w:r>
        <w:rPr>
          <w:b/>
          <w:bCs/>
        </w:rPr>
        <w:t xml:space="preserve">11%–15% adjusted operating-profit growth</w:t>
      </w:r>
      <w:r>
        <w:t xml:space="preserve">. That spread is intentional: third-party logistics represents about 55% of segment revenue and can fluctuate materially based on launches, program timing, supply dynamics, and product transitions. Access and affordability solutions—particularly for complex specialty therapies and GLP-1s—are the more meaningful profit driver.</w:t>
      </w:r>
    </w:p>
    <w:p>
      <w:pPr>
        <w:pStyle w:val="BodyText"/>
      </w:pPr>
      <w:r>
        <w:t xml:space="preserve">Investors should prefer:</w:t>
      </w:r>
    </w:p>
    <w:p>
      <w:pPr>
        <w:pStyle w:val="Compact"/>
        <w:numPr>
          <w:ilvl w:val="0"/>
          <w:numId w:val="1005"/>
        </w:numPr>
      </w:pPr>
      <w:r>
        <w:t xml:space="preserve">sustained double-digit segment profit growth,</w:t>
      </w:r>
    </w:p>
    <w:p>
      <w:pPr>
        <w:pStyle w:val="Compact"/>
        <w:numPr>
          <w:ilvl w:val="0"/>
          <w:numId w:val="1005"/>
        </w:numPr>
      </w:pPr>
      <w:r>
        <w:t xml:space="preserve">evidence of continued demand for benefits verification, prior authorization, and affordability services,</w:t>
      </w:r>
    </w:p>
    <w:p>
      <w:pPr>
        <w:pStyle w:val="Compact"/>
        <w:numPr>
          <w:ilvl w:val="0"/>
          <w:numId w:val="1005"/>
        </w:numPr>
      </w:pPr>
      <w:r>
        <w:t xml:space="preserve">new manufacturer program wins or service expansions,</w:t>
      </w:r>
    </w:p>
    <w:p>
      <w:pPr>
        <w:pStyle w:val="FirstParagraph"/>
      </w:pPr>
      <w:r>
        <w:t xml:space="preserve">over simply strong quarterly revenue growth.</w:t>
      </w:r>
    </w:p>
    <w:bookmarkEnd w:id="13"/>
    <w:bookmarkStart w:id="14" w:name="Xb9d99a3b9302ada404a8bf04edafbd8b4a45779"/>
    <w:p>
      <w:pPr>
        <w:pStyle w:val="Heading3"/>
      </w:pPr>
      <w:r>
        <w:t xml:space="preserve">5. Medical-Surgical separation: a capital-allocation catalyst, but execution risk remains</w:t>
      </w:r>
    </w:p>
    <w:p>
      <w:pPr>
        <w:pStyle w:val="FirstParagraph"/>
      </w:pPr>
      <w:r>
        <w:t xml:space="preserve">The pending Medical-Surgical separation is an important strategic and financial catalyst. MCK previously announced:</w:t>
      </w:r>
    </w:p>
    <w:p>
      <w:pPr>
        <w:pStyle w:val="Compact"/>
        <w:numPr>
          <w:ilvl w:val="0"/>
          <w:numId w:val="1006"/>
        </w:numPr>
      </w:pPr>
      <w:r>
        <w:t xml:space="preserve">a</w:t>
      </w:r>
      <w:r>
        <w:t xml:space="preserve"> </w:t>
      </w:r>
      <m:oMath>
        <m:r>
          <m:t>1.25</m:t>
        </m:r>
        <m:r>
          <m:t>b</m:t>
        </m:r>
        <m:r>
          <m:t>i</m:t>
        </m:r>
        <m:r>
          <m:t>l</m:t>
        </m:r>
        <m:r>
          <m:t>l</m:t>
        </m:r>
        <m:r>
          <m:t>i</m:t>
        </m:r>
        <m:r>
          <m:t>o</m:t>
        </m:r>
        <m:r>
          <m:t>n</m:t>
        </m:r>
        <m:r>
          <m:rPr>
            <m:sty m:val="p"/>
          </m:rPr>
          <m:t>*</m:t>
        </m:r>
        <m:r>
          <m:rPr>
            <m:sty m:val="p"/>
          </m:rPr>
          <m:t>*</m:t>
        </m:r>
        <m:r>
          <m:t>A</m:t>
        </m:r>
        <m:r>
          <m:t>p</m:t>
        </m:r>
        <m:r>
          <m:t>o</m:t>
        </m:r>
        <m:r>
          <m:t>l</m:t>
        </m:r>
        <m:r>
          <m:t>l</m:t>
        </m:r>
        <m:r>
          <m:t>o</m:t>
        </m:r>
        <m:r>
          <m:t>m</m:t>
        </m:r>
        <m:r>
          <m:t>i</m:t>
        </m:r>
        <m:r>
          <m:t>n</m:t>
        </m:r>
        <m:r>
          <m:t>o</m:t>
        </m:r>
        <m:r>
          <m:t>r</m:t>
        </m:r>
        <m:r>
          <m:t>i</m:t>
        </m:r>
        <m:r>
          <m:t>t</m:t>
        </m:r>
        <m:r>
          <m:t>y</m:t>
        </m:r>
        <m:r>
          <m:t>i</m:t>
        </m:r>
        <m:r>
          <m:t>n</m:t>
        </m:r>
        <m:r>
          <m:t>v</m:t>
        </m:r>
        <m:r>
          <m:t>e</m:t>
        </m:r>
        <m:r>
          <m:t>s</m:t>
        </m:r>
        <m:r>
          <m:t>t</m:t>
        </m:r>
        <m:r>
          <m:t>m</m:t>
        </m:r>
        <m:r>
          <m:t>e</m:t>
        </m:r>
        <m:r>
          <m:t>n</m:t>
        </m:r>
        <m:r>
          <m:t>t</m:t>
        </m:r>
        <m:r>
          <m:t>f</m:t>
        </m:r>
        <m:r>
          <m:t>o</m:t>
        </m:r>
        <m:r>
          <m:t>r</m:t>
        </m:r>
        <m:r>
          <m:t>a</m:t>
        </m:r>
        <m:r>
          <m:t>p</m:t>
        </m:r>
        <m:r>
          <m:t>p</m:t>
        </m:r>
        <m:r>
          <m:t>r</m:t>
        </m:r>
        <m:r>
          <m:t>o</m:t>
        </m:r>
        <m:r>
          <m:t>x</m:t>
        </m:r>
        <m:r>
          <m:t>i</m:t>
        </m:r>
        <m:r>
          <m:t>m</m:t>
        </m:r>
        <m:r>
          <m:t>a</m:t>
        </m:r>
        <m:r>
          <m:t>t</m:t>
        </m:r>
        <m:r>
          <m:t>e</m:t>
        </m:r>
        <m:r>
          <m:t>l</m:t>
        </m:r>
        <m:r>
          <m:t>y</m:t>
        </m:r>
        <m:r>
          <m:rPr>
            <m:sty m:val="p"/>
          </m:rPr>
          <m:t>*</m:t>
        </m:r>
        <m:r>
          <m:rPr>
            <m:sty m:val="p"/>
          </m:rPr>
          <m:t>*</m:t>
        </m:r>
        <m:r>
          <m:t>13</m:t>
        </m:r>
      </m:oMath>
      <w:r>
        <w:rPr>
          <w:b/>
          <w:bCs/>
        </w:rPr>
        <w:t xml:space="preserve">13 billion</w:t>
      </w:r>
      <w:r>
        <w:t xml:space="preserve">;</w:t>
      </w:r>
    </w:p>
    <w:p>
      <w:pPr>
        <w:pStyle w:val="Compact"/>
        <w:numPr>
          <w:ilvl w:val="0"/>
          <w:numId w:val="1006"/>
        </w:numPr>
      </w:pPr>
      <w:r>
        <w:t xml:space="preserve">a</w:t>
      </w:r>
      <w:r>
        <w:t xml:space="preserve"> </w:t>
      </w:r>
      <m:oMath>
        <m:r>
          <m:t>1</m:t>
        </m:r>
        <m:r>
          <m:t>b</m:t>
        </m:r>
        <m:r>
          <m:t>i</m:t>
        </m:r>
        <m:r>
          <m:t>l</m:t>
        </m:r>
        <m:r>
          <m:t>l</m:t>
        </m:r>
        <m:r>
          <m:t>i</m:t>
        </m:r>
        <m:r>
          <m:t>o</m:t>
        </m:r>
        <m:r>
          <m:t>n</m:t>
        </m:r>
        <m:r>
          <m:rPr>
            <m:sty m:val="p"/>
          </m:rPr>
          <m:t>*</m:t>
        </m:r>
        <m:r>
          <m:rPr>
            <m:sty m:val="p"/>
          </m:rPr>
          <m:t>*</m:t>
        </m:r>
        <m:r>
          <m:t>T</m:t>
        </m:r>
        <m:r>
          <m:t>e</m:t>
        </m:r>
        <m:r>
          <m:t>r</m:t>
        </m:r>
        <m:r>
          <m:t>m</m:t>
        </m:r>
        <m:r>
          <m:t>L</m:t>
        </m:r>
        <m:r>
          <m:t>o</m:t>
        </m:r>
        <m:r>
          <m:t>a</m:t>
        </m:r>
        <m:r>
          <m:t>n</m:t>
        </m:r>
        <m:r>
          <m:t>A</m:t>
        </m:r>
        <m:r>
          <m:t>a</m:t>
        </m:r>
        <m:r>
          <m:t>n</m:t>
        </m:r>
        <m:r>
          <m:t>d</m:t>
        </m:r>
        <m:r>
          <m:rPr>
            <m:sty m:val="p"/>
          </m:rPr>
          <m:t>*</m:t>
        </m:r>
        <m:r>
          <m:rPr>
            <m:sty m:val="p"/>
          </m:rPr>
          <m:t>*</m:t>
        </m:r>
      </m:oMath>
      <w:r>
        <w:rPr>
          <w:b/>
          <w:bCs/>
        </w:rPr>
        <w:t xml:space="preserve">1 billion</w:t>
      </w:r>
      <w:r>
        <w:t xml:space="preserve"> </w:t>
      </w:r>
      <w:r>
        <w:t xml:space="preserve">revolver;</w:t>
      </w:r>
    </w:p>
    <w:p>
      <w:pPr>
        <w:pStyle w:val="Compact"/>
        <w:numPr>
          <w:ilvl w:val="0"/>
          <w:numId w:val="1006"/>
        </w:numPr>
      </w:pPr>
      <w:r>
        <w:t xml:space="preserve">a subsequent</w:t>
      </w:r>
      <w:r>
        <w:t xml:space="preserve"> </w:t>
      </w:r>
      <w:r>
        <w:rPr>
          <w:b/>
          <w:bCs/>
        </w:rPr>
        <w:t xml:space="preserve">$2.25 billion Term B loan facility</w:t>
      </w:r>
      <w:r>
        <w:t xml:space="preserve">, secured in June;</w:t>
      </w:r>
    </w:p>
    <w:p>
      <w:pPr>
        <w:pStyle w:val="Compact"/>
        <w:numPr>
          <w:ilvl w:val="0"/>
          <w:numId w:val="1006"/>
        </w:numPr>
      </w:pPr>
      <w:r>
        <w:t xml:space="preserve">expected use of separation-related proceeds principally for share repurchases.</w:t>
      </w:r>
    </w:p>
    <w:p>
      <w:pPr>
        <w:pStyle w:val="FirstParagraph"/>
      </w:pPr>
      <w:r>
        <w:t xml:space="preserve">The capital structure is therefore becoming more concrete. Management’s FY27 plan included approximately</w:t>
      </w:r>
      <w:r>
        <w:t xml:space="preserve"> </w:t>
      </w:r>
      <w:r>
        <w:rPr>
          <w:b/>
          <w:bCs/>
        </w:rPr>
        <w:t xml:space="preserve">$5 billion of share repurchases</w:t>
      </w:r>
      <w:r>
        <w:t xml:space="preserve"> </w:t>
      </w:r>
      <w:r>
        <w:t xml:space="preserve">and a full-year diluted share count of</w:t>
      </w:r>
      <w:r>
        <w:t xml:space="preserve"> </w:t>
      </w:r>
      <w:r>
        <w:rPr>
          <w:b/>
          <w:bCs/>
        </w:rPr>
        <w:t xml:space="preserve">116 million–118 million</w:t>
      </w:r>
      <w:r>
        <w:t xml:space="preserve">, versus</w:t>
      </w:r>
      <w:r>
        <w:t xml:space="preserve"> </w:t>
      </w:r>
      <w:r>
        <w:rPr>
          <w:b/>
          <w:bCs/>
        </w:rPr>
        <w:t xml:space="preserve">124.1 million</w:t>
      </w:r>
      <w:r>
        <w:t xml:space="preserve"> </w:t>
      </w:r>
      <w:r>
        <w:t xml:space="preserve">in FY26. The buyback is a meaningful component of the EPS algorithm.</w:t>
      </w:r>
    </w:p>
    <w:p>
      <w:pPr>
        <w:pStyle w:val="BodyText"/>
      </w:pPr>
      <w:r>
        <w:rPr>
          <w:b/>
          <w:bCs/>
        </w:rPr>
        <w:t xml:space="preserve">Questions for the call:</w:t>
      </w:r>
    </w:p>
    <w:p>
      <w:pPr>
        <w:pStyle w:val="Compact"/>
        <w:numPr>
          <w:ilvl w:val="0"/>
          <w:numId w:val="1007"/>
        </w:numPr>
      </w:pPr>
      <w:r>
        <w:t xml:space="preserve">Has the Apollo transaction closed? If not, what approvals or milestones remain?</w:t>
      </w:r>
    </w:p>
    <w:p>
      <w:pPr>
        <w:pStyle w:val="Compact"/>
        <w:numPr>
          <w:ilvl w:val="0"/>
          <w:numId w:val="1007"/>
        </w:numPr>
      </w:pPr>
      <w:r>
        <w:t xml:space="preserve">What is the expected timing for the IPO/separation?</w:t>
      </w:r>
    </w:p>
    <w:p>
      <w:pPr>
        <w:pStyle w:val="Compact"/>
        <w:numPr>
          <w:ilvl w:val="0"/>
          <w:numId w:val="1007"/>
        </w:numPr>
      </w:pPr>
      <w:r>
        <w:t xml:space="preserve">Are there any changes to expected debt, interest expense, one-time separation costs, or dis-synergies?</w:t>
      </w:r>
    </w:p>
    <w:p>
      <w:pPr>
        <w:pStyle w:val="Compact"/>
        <w:numPr>
          <w:ilvl w:val="0"/>
          <w:numId w:val="1007"/>
        </w:numPr>
      </w:pPr>
      <w:r>
        <w:t xml:space="preserve">Is the planned $5 billion repurchase target still intact?</w:t>
      </w:r>
    </w:p>
    <w:p>
      <w:pPr>
        <w:pStyle w:val="Compact"/>
        <w:numPr>
          <w:ilvl w:val="0"/>
          <w:numId w:val="1007"/>
        </w:numPr>
      </w:pPr>
      <w:r>
        <w:t xml:space="preserve">Will the separation alter reported segment metrics or create additional complexity for FY27 comparability?</w:t>
      </w:r>
    </w:p>
    <w:bookmarkEnd w:id="14"/>
    <w:bookmarkEnd w:id="15"/>
    <w:bookmarkStart w:id="16" w:name="financial-setup-and-comparison-points"/>
    <w:p>
      <w:pPr>
        <w:pStyle w:val="Heading2"/>
      </w:pPr>
      <w:r>
        <w:t xml:space="preserve">Financial setup and comparison points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Fiscal Q1 2026 actual</w:t>
            </w:r>
          </w:p>
        </w:tc>
        <w:tc>
          <w:tcPr/>
          <w:p>
            <w:pPr>
              <w:pStyle w:val="Compact"/>
              <w:jc w:val="right"/>
            </w:pPr>
            <w:r>
              <w:t xml:space="preserve">Fiscal Q4 2026 actual</w:t>
            </w:r>
          </w:p>
        </w:tc>
        <w:tc>
          <w:tcPr/>
          <w:p>
            <w:pPr>
              <w:pStyle w:val="Compact"/>
            </w:pPr>
            <w:r>
              <w:t xml:space="preserve">FY27 guidance / context</w:t>
            </w:r>
          </w:p>
        </w:tc>
      </w:tr>
      <w:tr>
        <w:tc>
          <w:tcPr/>
          <w:p>
            <w:pPr>
              <w:pStyle w:val="Compact"/>
            </w:pPr>
            <w:r>
              <w:t xml:space="preserve">Revenue</w:t>
            </w:r>
          </w:p>
        </w:tc>
        <w:tc>
          <w:tcPr/>
          <w:p>
            <w:pPr>
              <w:pStyle w:val="Compact"/>
              <w:jc w:val="right"/>
            </w:pPr>
            <w:r>
              <w:t xml:space="preserve">$97.8B</w:t>
            </w:r>
          </w:p>
        </w:tc>
        <w:tc>
          <w:tcPr/>
          <w:p>
            <w:pPr>
              <w:pStyle w:val="Compact"/>
              <w:jc w:val="right"/>
            </w:pPr>
            <w:r>
              <w:t xml:space="preserve">$96.3B</w:t>
            </w:r>
          </w:p>
        </w:tc>
        <w:tc>
          <w:tcPr/>
          <w:p>
            <w:pPr>
              <w:pStyle w:val="Compact"/>
            </w:pPr>
            <w:r>
              <w:t xml:space="preserve">FY27 company revenue growth: 5%–9%</w:t>
            </w:r>
          </w:p>
        </w:tc>
      </w:tr>
      <w:tr>
        <w:tc>
          <w:tcPr/>
          <w:p>
            <w:pPr>
              <w:pStyle w:val="Compact"/>
            </w:pPr>
            <w:r>
              <w:t xml:space="preserve">Adjusted EPS</w:t>
            </w:r>
          </w:p>
        </w:tc>
        <w:tc>
          <w:tcPr/>
          <w:p>
            <w:pPr>
              <w:pStyle w:val="Compact"/>
              <w:jc w:val="right"/>
            </w:pPr>
            <w:r>
              <w:t xml:space="preserve">$8.26</w:t>
            </w:r>
          </w:p>
        </w:tc>
        <w:tc>
          <w:tcPr/>
          <w:p>
            <w:pPr>
              <w:pStyle w:val="Compact"/>
              <w:jc w:val="right"/>
            </w:pPr>
            <w:r>
              <w:t xml:space="preserve">$11.69</w:t>
            </w:r>
          </w:p>
        </w:tc>
        <w:tc>
          <w:tcPr/>
          <w:p>
            <w:pPr>
              <w:pStyle w:val="Compact"/>
            </w:pPr>
            <w:r>
              <w:t xml:space="preserve">FY27:</w:t>
            </w:r>
            <w:r>
              <w:t xml:space="preserve"> </w:t>
            </w:r>
            <m:oMath>
              <m:r>
                <m:t>43.80</m:t>
              </m:r>
              <m:r>
                <m:rPr>
                  <m:sty m:val="p"/>
                </m:rPr>
                <m:t>–</m:t>
              </m:r>
            </m:oMath>
            <w:r>
              <w:t xml:space="preserve">44.60</w:t>
            </w:r>
          </w:p>
        </w:tc>
      </w:tr>
      <w:tr>
        <w:tc>
          <w:tcPr/>
          <w:p>
            <w:pPr>
              <w:pStyle w:val="Compact"/>
            </w:pPr>
            <w:r>
              <w:t xml:space="preserve">North American Pharmaceutical adj. op profit</w:t>
            </w:r>
          </w:p>
        </w:tc>
        <w:tc>
          <w:tcPr/>
          <w:p>
            <w:pPr>
              <w:pStyle w:val="Compact"/>
              <w:jc w:val="right"/>
            </w:pPr>
            <w:r>
              <w:t xml:space="preserve">$950M*</w:t>
            </w:r>
          </w:p>
        </w:tc>
        <w:tc>
          <w:tcPr/>
          <w:p>
            <w:pPr>
              <w:pStyle w:val="Compact"/>
              <w:jc w:val="right"/>
            </w:pPr>
            <w:r>
              <w:t xml:space="preserve">$980M</w:t>
            </w:r>
          </w:p>
        </w:tc>
        <w:tc>
          <w:tcPr/>
          <w:p>
            <w:pPr>
              <w:pStyle w:val="Compact"/>
            </w:pPr>
            <w:r>
              <w:t xml:space="preserve">Growth: 5.5%–9.5%</w:t>
            </w:r>
          </w:p>
        </w:tc>
      </w:tr>
      <w:tr>
        <w:tc>
          <w:tcPr/>
          <w:p>
            <w:pPr>
              <w:pStyle w:val="Compact"/>
            </w:pPr>
            <w:r>
              <w:t xml:space="preserve">Oncology &amp; Multispecialty adj. op profit</w:t>
            </w:r>
          </w:p>
        </w:tc>
        <w:tc>
          <w:tcPr/>
          <w:p>
            <w:pPr>
              <w:pStyle w:val="Compact"/>
              <w:jc w:val="right"/>
            </w:pPr>
            <w:r>
              <w:t xml:space="preserve">Reported within prior segment structure</w:t>
            </w:r>
          </w:p>
        </w:tc>
        <w:tc>
          <w:tcPr/>
          <w:p>
            <w:pPr>
              <w:pStyle w:val="Compact"/>
              <w:jc w:val="right"/>
            </w:pPr>
            <w:r>
              <w:t xml:space="preserve">$385M</w:t>
            </w:r>
          </w:p>
        </w:tc>
        <w:tc>
          <w:tcPr/>
          <w:p>
            <w:pPr>
              <w:pStyle w:val="Compact"/>
            </w:pPr>
            <w:r>
              <w:t xml:space="preserve">Growth: 13.5%–17.5%</w:t>
            </w:r>
          </w:p>
        </w:tc>
      </w:tr>
      <w:tr>
        <w:tc>
          <w:tcPr/>
          <w:p>
            <w:pPr>
              <w:pStyle w:val="Compact"/>
            </w:pPr>
            <w:r>
              <w:t xml:space="preserve">Prescription Technology Solutions adj. op profit</w:t>
            </w:r>
          </w:p>
        </w:tc>
        <w:tc>
          <w:tcPr/>
          <w:p>
            <w:pPr>
              <w:pStyle w:val="Compact"/>
              <w:jc w:val="right"/>
            </w:pPr>
            <w:r>
              <w:t xml:space="preserve">$269M</w:t>
            </w:r>
          </w:p>
        </w:tc>
        <w:tc>
          <w:tcPr/>
          <w:p>
            <w:pPr>
              <w:pStyle w:val="Compact"/>
              <w:jc w:val="right"/>
            </w:pPr>
            <w:r>
              <w:t xml:space="preserve">$322M</w:t>
            </w:r>
          </w:p>
        </w:tc>
        <w:tc>
          <w:tcPr/>
          <w:p>
            <w:pPr>
              <w:pStyle w:val="Compact"/>
            </w:pPr>
            <w:r>
              <w:t xml:space="preserve">Growth: 11%–15%</w:t>
            </w:r>
          </w:p>
        </w:tc>
      </w:tr>
      <w:tr>
        <w:tc>
          <w:tcPr/>
          <w:p>
            <w:pPr>
              <w:pStyle w:val="Compact"/>
            </w:pPr>
            <w:r>
              <w:t xml:space="preserve">Free cash flow</w:t>
            </w:r>
          </w:p>
        </w:tc>
        <w:tc>
          <w:tcPr/>
          <w:p>
            <w:pPr>
              <w:pStyle w:val="Compact"/>
              <w:jc w:val="right"/>
            </w:pPr>
            <w:r>
              <w:t xml:space="preserve">$(1.1)B</w:t>
            </w:r>
          </w:p>
        </w:tc>
        <w:tc>
          <w:tcPr/>
          <w:p>
            <w:pPr>
              <w:pStyle w:val="Compact"/>
              <w:jc w:val="right"/>
            </w:pPr>
            <w:r>
              <w:t xml:space="preserve">$3.2B</w:t>
            </w:r>
          </w:p>
        </w:tc>
        <w:tc>
          <w:tcPr/>
          <w:p>
            <w:pPr>
              <w:pStyle w:val="Compact"/>
            </w:pPr>
            <w:r>
              <w:t xml:space="preserve">FY27:</w:t>
            </w:r>
            <w:r>
              <w:t xml:space="preserve"> </w:t>
            </w:r>
            <m:oMath>
              <m:r>
                <m:t>4.5</m:t>
              </m:r>
              <m:r>
                <m:t>B</m:t>
              </m:r>
              <m:r>
                <m:rPr>
                  <m:sty m:val="p"/>
                </m:rPr>
                <m:t>–</m:t>
              </m:r>
            </m:oMath>
            <w:r>
              <w:t xml:space="preserve">4.9B</w:t>
            </w:r>
          </w:p>
        </w:tc>
      </w:tr>
    </w:tbl>
    <w:p>
      <w:pPr>
        <w:pStyle w:val="BodyText"/>
      </w:pPr>
      <w:r>
        <w:t xml:space="preserve">*Fiscal Q1 2026 used the prior U.S. Pharmaceutical segment presentation, before MCK’s subsequent reporting-structure changes.</w:t>
      </w:r>
    </w:p>
    <w:p>
      <w:pPr>
        <w:pStyle w:val="BodyText"/>
      </w:pPr>
      <w:r>
        <w:t xml:space="preserve">The year-ago quarter’s</w:t>
      </w:r>
      <w:r>
        <w:t xml:space="preserve"> </w:t>
      </w:r>
      <w:r>
        <w:rPr>
          <w:b/>
          <w:bCs/>
        </w:rPr>
        <w:t xml:space="preserve">$8.26 adjusted EPS</w:t>
      </w:r>
      <w:r>
        <w:t xml:space="preserve"> </w:t>
      </w:r>
      <w:r>
        <w:t xml:space="preserve">is a useful reference, but it is not a clean run-rate indicator. Fiscal Q1 tends to be MCK’s seasonally lower earnings quarter, and year-over-year comparisons are affected by portfolio changes, repurchases, changing interest expense, noncontrolling interests, and tax timing. Management has said FY27 EPS cadence should be broadly similar to FY26 on a first-half versus second-half basis, while warning that quarter-to-quarter results can vary.</w:t>
      </w:r>
    </w:p>
    <w:bookmarkEnd w:id="16"/>
    <w:bookmarkStart w:id="19" w:name="bull-case-bear-case-and-swing-factors"/>
    <w:p>
      <w:pPr>
        <w:pStyle w:val="Heading2"/>
      </w:pPr>
      <w:r>
        <w:t xml:space="preserve">Bull case, bear case, and swing factors</w:t>
      </w:r>
    </w:p>
    <w:bookmarkStart w:id="17" w:name="bull-case"/>
    <w:p>
      <w:pPr>
        <w:pStyle w:val="Heading3"/>
      </w:pPr>
      <w:r>
        <w:t xml:space="preserve">Bull case</w:t>
      </w:r>
    </w:p>
    <w:p>
      <w:pPr>
        <w:pStyle w:val="Compact"/>
        <w:numPr>
          <w:ilvl w:val="0"/>
          <w:numId w:val="1008"/>
        </w:numPr>
      </w:pPr>
      <w:r>
        <w:t xml:space="preserve">Core distribution profit growth exceeds expectations despite muted revenue growth.</w:t>
      </w:r>
    </w:p>
    <w:p>
      <w:pPr>
        <w:pStyle w:val="Compact"/>
        <w:numPr>
          <w:ilvl w:val="0"/>
          <w:numId w:val="1008"/>
        </w:numPr>
      </w:pPr>
      <w:r>
        <w:t xml:space="preserve">Oncology/multispecialty organic growth remains near the low-to-mid teens after acquisition anniversaries.</w:t>
      </w:r>
    </w:p>
    <w:p>
      <w:pPr>
        <w:pStyle w:val="Compact"/>
        <w:numPr>
          <w:ilvl w:val="0"/>
          <w:numId w:val="1008"/>
        </w:numPr>
      </w:pPr>
      <w:r>
        <w:t xml:space="preserve">Prescription Technology profit remains resilient despite uneven 3PL revenue.</w:t>
      </w:r>
    </w:p>
    <w:p>
      <w:pPr>
        <w:pStyle w:val="Compact"/>
        <w:numPr>
          <w:ilvl w:val="0"/>
          <w:numId w:val="1008"/>
        </w:numPr>
      </w:pPr>
      <w:r>
        <w:t xml:space="preserve">FY27 guidance is reaffirmed confidently or nudged higher.</w:t>
      </w:r>
    </w:p>
    <w:p>
      <w:pPr>
        <w:pStyle w:val="Compact"/>
        <w:numPr>
          <w:ilvl w:val="0"/>
          <w:numId w:val="1008"/>
        </w:numPr>
      </w:pPr>
      <w:r>
        <w:t xml:space="preserve">Medical-Surgical separation milestones and buybacks appear on schedule.</w:t>
      </w:r>
    </w:p>
    <w:bookmarkEnd w:id="17"/>
    <w:bookmarkStart w:id="18" w:name="bear-case"/>
    <w:p>
      <w:pPr>
        <w:pStyle w:val="Heading3"/>
      </w:pPr>
      <w:r>
        <w:t xml:space="preserve">Bear case</w:t>
      </w:r>
    </w:p>
    <w:p>
      <w:pPr>
        <w:pStyle w:val="Compact"/>
        <w:numPr>
          <w:ilvl w:val="0"/>
          <w:numId w:val="1009"/>
        </w:numPr>
      </w:pPr>
      <w:r>
        <w:t xml:space="preserve">Branded-price compression or GLP-1 volatility begins to pressure North American Pharmaceutical profit—not just revenue.</w:t>
      </w:r>
    </w:p>
    <w:p>
      <w:pPr>
        <w:pStyle w:val="Compact"/>
        <w:numPr>
          <w:ilvl w:val="0"/>
          <w:numId w:val="1009"/>
        </w:numPr>
      </w:pPr>
      <w:r>
        <w:t xml:space="preserve">Oncology growth decelerates materially after acquisitions are lapped.</w:t>
      </w:r>
    </w:p>
    <w:p>
      <w:pPr>
        <w:pStyle w:val="Compact"/>
        <w:numPr>
          <w:ilvl w:val="0"/>
          <w:numId w:val="1009"/>
        </w:numPr>
      </w:pPr>
      <w:r>
        <w:t xml:space="preserve">Access-solution or 3PL timing causes a larger-than-expected Prescription Technology slowdown.</w:t>
      </w:r>
    </w:p>
    <w:p>
      <w:pPr>
        <w:pStyle w:val="Compact"/>
        <w:numPr>
          <w:ilvl w:val="0"/>
          <w:numId w:val="1009"/>
        </w:numPr>
      </w:pPr>
      <w:r>
        <w:t xml:space="preserve">Separation costs, interest expense, noncontrolling-interest expense, or timing issues weigh on FY27 EPS conversion.</w:t>
      </w:r>
    </w:p>
    <w:p>
      <w:pPr>
        <w:pStyle w:val="Compact"/>
        <w:numPr>
          <w:ilvl w:val="0"/>
          <w:numId w:val="1009"/>
        </w:numPr>
      </w:pPr>
      <w:r>
        <w:t xml:space="preserve">Free cash flow is weak beyond ordinary first-quarter working-capital seasonality.</w:t>
      </w:r>
    </w:p>
    <w:bookmarkEnd w:id="18"/>
    <w:bookmarkEnd w:id="19"/>
    <w:bookmarkStart w:id="21" w:name="bottom-line"/>
    <w:p>
      <w:pPr>
        <w:pStyle w:val="Heading2"/>
      </w:pPr>
      <w:r>
        <w:t xml:space="preserve">Bottom line</w:t>
      </w:r>
    </w:p>
    <w:p>
      <w:pPr>
        <w:pStyle w:val="FirstParagraph"/>
      </w:pPr>
      <w:r>
        <w:rPr>
          <w:b/>
          <w:bCs/>
        </w:rPr>
        <w:t xml:space="preserve">MCK needs to demonstrate that its FY27 guide is intact through operational performance, not just buybacks.</w:t>
      </w:r>
      <w:r>
        <w:t xml:space="preserve"> </w:t>
      </w:r>
      <w:r>
        <w:t xml:space="preserve">The most constructive report would pair stable North American Pharmaceutical margins with continued strong Oncology &amp; Multispecialty growth, double-digit Prescription Technology profit growth, and clear Medical-Surgical separation/capital-return progress.</w:t>
      </w:r>
    </w:p>
    <w:p>
      <w:pPr>
        <w:pStyle w:val="BodyText"/>
      </w:pPr>
      <w:r>
        <w:t xml:space="preserve">The main nuance for investors is that revenue can be noisy—especially from branded-price changes, GLP-1 dynamics, and 3PL timing—while operating profit, adjusted EPS guidance, share count, and separation execution are more consequential to the equity story.</w:t>
      </w:r>
    </w:p>
    <w:bookmarkStart w:id="20" w:name="research-basis"/>
    <w:p>
      <w:pPr>
        <w:pStyle w:val="Heading3"/>
      </w:pPr>
      <w:r>
        <w:t xml:space="preserve">Research basis</w:t>
      </w:r>
    </w:p>
    <w:p>
      <w:pPr>
        <w:pStyle w:val="Compact"/>
        <w:numPr>
          <w:ilvl w:val="0"/>
          <w:numId w:val="1010"/>
        </w:numPr>
      </w:pPr>
      <w:r>
        <w:t xml:space="preserve">McKesson fiscal Q4 2026 earnings release and earnings-call transcript, May 7, 2026.</w:t>
      </w:r>
    </w:p>
    <w:p>
      <w:pPr>
        <w:pStyle w:val="Compact"/>
        <w:numPr>
          <w:ilvl w:val="0"/>
          <w:numId w:val="1010"/>
        </w:numPr>
      </w:pPr>
      <w:r>
        <w:t xml:space="preserve">McKesson fiscal Q1 2026 and Q2 2026 earnings releases.</w:t>
      </w:r>
    </w:p>
    <w:p>
      <w:pPr>
        <w:pStyle w:val="Compact"/>
        <w:numPr>
          <w:ilvl w:val="0"/>
          <w:numId w:val="1010"/>
        </w:numPr>
      </w:pPr>
      <w:r>
        <w:t xml:space="preserve">McKesson Q1 FY27 earnings-date announcement, June 24, 2026.</w:t>
      </w:r>
    </w:p>
    <w:p>
      <w:pPr>
        <w:pStyle w:val="Compact"/>
        <w:numPr>
          <w:ilvl w:val="0"/>
          <w:numId w:val="1010"/>
        </w:numPr>
      </w:pPr>
      <w:r>
        <w:t xml:space="preserve">McKesson Medical-Surgical Term B loan 8-K, filed June 12, 2026.</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2026-08-05T00:51:28Z</dcterms:created>
  <dcterms:modified xsi:type="dcterms:W3CDTF">2026-08-05T00:51:28Z</dcterms:modified>
</cp:coreProperties>
</file>

<file path=docProps/custom.xml><?xml version="1.0" encoding="utf-8"?>
<Properties xmlns="http://schemas.openxmlformats.org/officeDocument/2006/custom-properties" xmlns:vt="http://schemas.openxmlformats.org/officeDocument/2006/docPropsVTypes"/>
</file>