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k-earnings-predictions--2026-08-05"/>
    <w:p>
      <w:pPr>
        <w:pStyle w:val="Heading1"/>
      </w:pPr>
      <w:r>
        <w:t xml:space="preserve">MCK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(Q1 FY2027)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~$9.85 vs. cons $9.551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Oncology &amp; Multispecialty Adj. Seg. OP (Q1 FY2027)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~$375M vs. cons $375.3M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RxTS Adj. Seg. OP (Q1 FY2027)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~$310M vs. cons $300.9M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FY2027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</w:t>
            </w:r>
            <w:r>
              <w:t xml:space="preserve"> </w:t>
            </w:r>
            <m:oMath>
              <m:r>
                <m:t>43.80</m:t>
              </m:r>
              <m:r>
                <m:rPr>
                  <m:sty m:val="p"/>
                </m:rPr>
                <m:t>−</m:t>
              </m:r>
            </m:oMath>
            <w:r>
              <w:t xml:space="preserve">44.60 vs. cons $44.253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GLP-1 trajectory (qualitative, Q1 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sequential volume recovery commentary; continued growth reaffirmed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Med-Surg separation (qualitative, 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progress update, no acceleration; IPO timeline TBD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implicit out-quarter EPS cut pulls Q2 estimates lower post-print; sell-side models off the maintained FY guide math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2026-08-07T02:01:56Z</dcterms:created>
  <dcterms:modified xsi:type="dcterms:W3CDTF">2026-08-07T02:01:56Z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